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1B0C" w:rsidRDefault="00B92C07">
      <w:pPr>
        <w:spacing w:beforeLines="100" w:before="312" w:line="240" w:lineRule="exact"/>
        <w:ind w:leftChars="18" w:left="59" w:hangingChars="7" w:hanging="21"/>
        <w:jc w:val="center"/>
        <w:outlineLvl w:val="0"/>
        <w:rPr>
          <w:rFonts w:ascii="华文楷体" w:eastAsia="华文楷体" w:hAnsi="华文楷体"/>
          <w:color w:val="0000FF"/>
          <w:szCs w:val="21"/>
        </w:rPr>
      </w:pPr>
      <w:r>
        <w:rPr>
          <w:rFonts w:hAnsi="宋体"/>
          <w:b/>
          <w:sz w:val="30"/>
          <w:szCs w:val="30"/>
        </w:rPr>
        <w:t>微反应法合成</w:t>
      </w:r>
      <w:r>
        <w:rPr>
          <w:b/>
          <w:sz w:val="30"/>
          <w:szCs w:val="30"/>
        </w:rPr>
        <w:t>CdSeS</w:t>
      </w:r>
      <w:r>
        <w:rPr>
          <w:rFonts w:hAnsi="宋体"/>
          <w:b/>
          <w:sz w:val="30"/>
          <w:szCs w:val="30"/>
        </w:rPr>
        <w:t>三元合金量子点</w:t>
      </w:r>
      <w:r>
        <w:rPr>
          <w:rFonts w:ascii="华文楷体" w:eastAsia="华文楷体" w:hAnsi="华文楷体" w:hint="eastAsia"/>
          <w:color w:val="0000FF"/>
          <w:szCs w:val="21"/>
        </w:rPr>
        <w:t>（小三</w:t>
      </w:r>
      <w:bookmarkStart w:id="0" w:name="_GoBack"/>
      <w:bookmarkEnd w:id="0"/>
      <w:r>
        <w:rPr>
          <w:rFonts w:ascii="华文楷体" w:eastAsia="华文楷体" w:hAnsi="华文楷体" w:hint="eastAsia"/>
          <w:color w:val="0000FF"/>
          <w:szCs w:val="21"/>
        </w:rPr>
        <w:t>，加粗，居中，段前1行，段后0行）</w:t>
      </w:r>
    </w:p>
    <w:p w:rsidR="00B61B0C" w:rsidRDefault="00B92C07">
      <w:pPr>
        <w:pStyle w:val="CAuthor"/>
        <w:spacing w:line="240" w:lineRule="exact"/>
        <w:rPr>
          <w:rFonts w:ascii="宋体" w:eastAsia="宋体" w:hAnsi="宋体"/>
          <w:color w:val="0000FF"/>
          <w:sz w:val="24"/>
        </w:rPr>
      </w:pPr>
      <w:r>
        <w:rPr>
          <w:rFonts w:ascii="Times New Roman" w:eastAsia="宋体" w:hint="eastAsia"/>
          <w:sz w:val="24"/>
        </w:rPr>
        <w:t>学号</w:t>
      </w:r>
      <w:r>
        <w:rPr>
          <w:rFonts w:ascii="Times New Roman" w:eastAsia="宋体" w:hint="eastAsia"/>
          <w:sz w:val="24"/>
        </w:rPr>
        <w:t xml:space="preserve"> </w:t>
      </w:r>
      <w:r>
        <w:rPr>
          <w:rFonts w:ascii="Times New Roman" w:eastAsia="宋体" w:hint="eastAsia"/>
          <w:sz w:val="24"/>
        </w:rPr>
        <w:t>姓名</w:t>
      </w:r>
      <w:r>
        <w:rPr>
          <w:rFonts w:ascii="宋体" w:eastAsia="宋体" w:hAnsi="宋体" w:hint="eastAsia"/>
          <w:color w:val="0000FF"/>
          <w:sz w:val="24"/>
        </w:rPr>
        <w:t>（宋体，小四，居中，段前段后各0.5行）</w:t>
      </w:r>
      <w:r>
        <w:rPr>
          <w:rFonts w:ascii="宋体" w:eastAsia="宋体" w:hAnsi="宋体" w:hint="eastAsia"/>
          <w:sz w:val="24"/>
        </w:rPr>
        <w:t>导师</w:t>
      </w:r>
    </w:p>
    <w:p w:rsidR="00B61B0C" w:rsidRDefault="00B92C07">
      <w:pPr>
        <w:jc w:val="center"/>
      </w:pPr>
      <w:r>
        <w:rPr>
          <w:rFonts w:hint="eastAsia"/>
          <w:color w:val="0000FF"/>
          <w:szCs w:val="21"/>
        </w:rPr>
        <w:t>（正文，宋体五号，行距</w:t>
      </w:r>
      <w:r>
        <w:rPr>
          <w:rFonts w:hint="eastAsia"/>
          <w:color w:val="0000FF"/>
          <w:szCs w:val="21"/>
        </w:rPr>
        <w:t>12</w:t>
      </w:r>
      <w:r>
        <w:rPr>
          <w:rFonts w:hint="eastAsia"/>
          <w:color w:val="0000FF"/>
          <w:szCs w:val="21"/>
        </w:rPr>
        <w:t>磅，段前段后</w:t>
      </w:r>
      <w:r>
        <w:rPr>
          <w:rFonts w:hint="eastAsia"/>
          <w:color w:val="0000FF"/>
          <w:szCs w:val="21"/>
        </w:rPr>
        <w:t>0</w:t>
      </w:r>
      <w:r>
        <w:rPr>
          <w:rFonts w:hint="eastAsia"/>
          <w:color w:val="0000FF"/>
          <w:szCs w:val="21"/>
        </w:rPr>
        <w:t>行）</w:t>
      </w:r>
    </w:p>
    <w:p w:rsidR="00B61B0C" w:rsidRDefault="00B92C07">
      <w:pPr>
        <w:spacing w:line="240" w:lineRule="exact"/>
        <w:rPr>
          <w:rFonts w:hAnsi="宋体"/>
          <w:szCs w:val="21"/>
        </w:rPr>
      </w:pPr>
      <w:r>
        <w:rPr>
          <w:rFonts w:hAnsi="宋体" w:hint="eastAsia"/>
          <w:b/>
          <w:szCs w:val="21"/>
        </w:rPr>
        <w:t>摘要：</w:t>
      </w:r>
      <w:r>
        <w:rPr>
          <w:rFonts w:hAnsi="宋体" w:hint="eastAsia"/>
          <w:szCs w:val="21"/>
        </w:rPr>
        <w:t>合金量子点可以通过改变组分和内部结构来实现光电性能的调控。本文搭建了合成</w:t>
      </w:r>
      <w:r>
        <w:rPr>
          <w:rFonts w:hAnsi="宋体" w:hint="eastAsia"/>
          <w:szCs w:val="21"/>
        </w:rPr>
        <w:t>CdSeS</w:t>
      </w:r>
      <w:r>
        <w:rPr>
          <w:rFonts w:hAnsi="宋体" w:hint="eastAsia"/>
          <w:szCs w:val="21"/>
        </w:rPr>
        <w:t>三元合金量子点的毛细管微反应装置，研究发现通过优化反应物浓度、停留时间和反应温度等合成参数，增加</w:t>
      </w:r>
      <w:r>
        <w:rPr>
          <w:rFonts w:hAnsi="宋体" w:hint="eastAsia"/>
          <w:szCs w:val="21"/>
        </w:rPr>
        <w:t>S</w:t>
      </w:r>
      <w:r>
        <w:rPr>
          <w:rFonts w:hAnsi="宋体" w:hint="eastAsia"/>
          <w:szCs w:val="21"/>
        </w:rPr>
        <w:t>的含量可使荧光光谱从</w:t>
      </w:r>
      <w:r>
        <w:rPr>
          <w:rFonts w:hAnsi="宋体" w:hint="eastAsia"/>
          <w:szCs w:val="21"/>
        </w:rPr>
        <w:t>584 nm</w:t>
      </w:r>
      <w:r>
        <w:rPr>
          <w:rFonts w:hAnsi="宋体" w:hint="eastAsia"/>
          <w:szCs w:val="21"/>
        </w:rPr>
        <w:t>显著蓝移到</w:t>
      </w:r>
      <w:r>
        <w:rPr>
          <w:rFonts w:hAnsi="宋体" w:hint="eastAsia"/>
          <w:szCs w:val="21"/>
        </w:rPr>
        <w:t>468 nm</w:t>
      </w:r>
      <w:r>
        <w:rPr>
          <w:rFonts w:hAnsi="宋体" w:hint="eastAsia"/>
          <w:szCs w:val="21"/>
        </w:rPr>
        <w:t>处，且荧光半峰宽仅为</w:t>
      </w:r>
      <w:r>
        <w:rPr>
          <w:rFonts w:hAnsi="宋体" w:hint="eastAsia"/>
          <w:szCs w:val="21"/>
        </w:rPr>
        <w:t>31 nm</w:t>
      </w:r>
      <w:r>
        <w:rPr>
          <w:rFonts w:hAnsi="宋体" w:hint="eastAsia"/>
          <w:szCs w:val="21"/>
        </w:rPr>
        <w:t>。为了提高荧光量子产率和减少生物毒性，对合成的量子点进行了无机包裹，得到了</w:t>
      </w:r>
      <w:r>
        <w:rPr>
          <w:rFonts w:hAnsi="宋体" w:hint="eastAsia"/>
          <w:szCs w:val="21"/>
        </w:rPr>
        <w:t>CdSeS/ZnS</w:t>
      </w:r>
      <w:r>
        <w:rPr>
          <w:rFonts w:hAnsi="宋体" w:hint="eastAsia"/>
          <w:szCs w:val="21"/>
        </w:rPr>
        <w:t>核壳结构量子点，其荧光量子产率可达到</w:t>
      </w:r>
      <w:r>
        <w:rPr>
          <w:rFonts w:hAnsi="宋体" w:hint="eastAsia"/>
          <w:szCs w:val="21"/>
        </w:rPr>
        <w:t xml:space="preserve">60 %  </w:t>
      </w:r>
      <w:r>
        <w:rPr>
          <w:rFonts w:hAnsi="宋体" w:hint="eastAsia"/>
          <w:szCs w:val="21"/>
        </w:rPr>
        <w:t>。</w:t>
      </w:r>
    </w:p>
    <w:p w:rsidR="00B61B0C" w:rsidRDefault="00B92C07">
      <w:pPr>
        <w:spacing w:beforeLines="50" w:before="156" w:line="240" w:lineRule="exact"/>
        <w:rPr>
          <w:szCs w:val="21"/>
        </w:rPr>
      </w:pPr>
      <w:r>
        <w:rPr>
          <w:rFonts w:hAnsi="宋体" w:hint="eastAsia"/>
          <w:b/>
          <w:szCs w:val="21"/>
        </w:rPr>
        <w:t>关键词</w:t>
      </w:r>
      <w:r>
        <w:rPr>
          <w:rFonts w:hAnsi="宋体" w:hint="eastAsia"/>
          <w:b/>
          <w:szCs w:val="21"/>
        </w:rPr>
        <w:t xml:space="preserve">: </w:t>
      </w:r>
      <w:r>
        <w:rPr>
          <w:rFonts w:ascii="宋体" w:hAnsi="宋体" w:hint="eastAsia"/>
          <w:szCs w:val="21"/>
        </w:rPr>
        <w:t>微反应</w:t>
      </w:r>
      <w:r>
        <w:rPr>
          <w:rFonts w:hint="eastAsia"/>
          <w:szCs w:val="21"/>
        </w:rPr>
        <w:t>；</w:t>
      </w:r>
      <w:r>
        <w:rPr>
          <w:rFonts w:ascii="宋体" w:hAnsi="宋体" w:hint="eastAsia"/>
          <w:szCs w:val="21"/>
        </w:rPr>
        <w:t xml:space="preserve">合金量子点；核壳结构 </w:t>
      </w:r>
      <w:r>
        <w:rPr>
          <w:rFonts w:hint="eastAsia"/>
          <w:color w:val="0000FF"/>
          <w:szCs w:val="21"/>
        </w:rPr>
        <w:t>（关键字、摘要的具体格式请仿照本文）</w:t>
      </w:r>
    </w:p>
    <w:p w:rsidR="00B61B0C" w:rsidRDefault="00B92C07">
      <w:pPr>
        <w:spacing w:beforeLines="100" w:before="312" w:line="240" w:lineRule="exact"/>
        <w:jc w:val="center"/>
        <w:rPr>
          <w:rFonts w:eastAsia="黑体"/>
          <w:b/>
          <w:sz w:val="30"/>
          <w:szCs w:val="30"/>
        </w:rPr>
      </w:pPr>
      <w:r>
        <w:rPr>
          <w:rFonts w:eastAsia="黑体" w:hint="eastAsia"/>
          <w:b/>
          <w:sz w:val="30"/>
          <w:szCs w:val="30"/>
        </w:rPr>
        <w:t>Synthesis of CdSeS Ternary Alloyed Quantum Dots via Microreaction</w:t>
      </w:r>
    </w:p>
    <w:p w:rsidR="00B61B0C" w:rsidRDefault="00B92C07">
      <w:pPr>
        <w:spacing w:beforeLines="50" w:before="156" w:afterLines="50" w:after="156" w:line="240" w:lineRule="exact"/>
        <w:jc w:val="center"/>
        <w:rPr>
          <w:sz w:val="24"/>
        </w:rPr>
      </w:pPr>
      <w:r>
        <w:rPr>
          <w:rFonts w:hint="eastAsia"/>
          <w:sz w:val="24"/>
        </w:rPr>
        <w:t xml:space="preserve">Student number </w:t>
      </w:r>
      <w:r>
        <w:rPr>
          <w:sz w:val="24"/>
        </w:rPr>
        <w:t xml:space="preserve"> </w:t>
      </w:r>
      <w:r>
        <w:rPr>
          <w:rFonts w:hint="eastAsia"/>
          <w:sz w:val="24"/>
        </w:rPr>
        <w:t>Name</w:t>
      </w:r>
      <w:r>
        <w:rPr>
          <w:rFonts w:hint="eastAsia"/>
          <w:color w:val="0000FF"/>
          <w:sz w:val="24"/>
        </w:rPr>
        <w:t>（英文用</w:t>
      </w:r>
      <w:r>
        <w:rPr>
          <w:rFonts w:hint="eastAsia"/>
          <w:color w:val="0000FF"/>
          <w:sz w:val="24"/>
        </w:rPr>
        <w:t>Times New Roman</w:t>
      </w:r>
      <w:r>
        <w:rPr>
          <w:rFonts w:hint="eastAsia"/>
          <w:color w:val="0000FF"/>
          <w:sz w:val="24"/>
        </w:rPr>
        <w:t>）</w:t>
      </w:r>
      <w:r>
        <w:rPr>
          <w:rFonts w:hint="eastAsia"/>
          <w:sz w:val="24"/>
        </w:rPr>
        <w:t>Advisor</w:t>
      </w:r>
    </w:p>
    <w:p w:rsidR="00B61B0C" w:rsidRDefault="00B92C07">
      <w:pPr>
        <w:spacing w:line="240" w:lineRule="exact"/>
        <w:rPr>
          <w:color w:val="000000"/>
          <w:kern w:val="0"/>
          <w:szCs w:val="21"/>
        </w:rPr>
      </w:pPr>
      <w:r>
        <w:rPr>
          <w:rFonts w:hint="eastAsia"/>
          <w:b/>
          <w:szCs w:val="21"/>
        </w:rPr>
        <w:t>Abstract:</w:t>
      </w:r>
      <w:r>
        <w:rPr>
          <w:szCs w:val="21"/>
        </w:rPr>
        <w:t xml:space="preserve"> Different</w:t>
      </w:r>
      <w:r>
        <w:rPr>
          <w:rFonts w:hint="eastAsia"/>
          <w:szCs w:val="21"/>
        </w:rPr>
        <w:t xml:space="preserve"> </w:t>
      </w:r>
      <w:r>
        <w:rPr>
          <w:rFonts w:hint="eastAsia"/>
          <w:color w:val="000000"/>
          <w:kern w:val="0"/>
          <w:szCs w:val="21"/>
        </w:rPr>
        <w:t>from</w:t>
      </w:r>
      <w:r>
        <w:rPr>
          <w:color w:val="000000"/>
          <w:kern w:val="0"/>
          <w:szCs w:val="21"/>
        </w:rPr>
        <w:t xml:space="preserve"> the quantum size effect</w:t>
      </w:r>
      <w:r>
        <w:rPr>
          <w:rFonts w:hint="eastAsia"/>
          <w:color w:val="000000"/>
          <w:kern w:val="0"/>
          <w:szCs w:val="21"/>
        </w:rPr>
        <w:t xml:space="preserve"> of</w:t>
      </w:r>
      <w:r>
        <w:rPr>
          <w:color w:val="000000"/>
          <w:kern w:val="0"/>
          <w:szCs w:val="21"/>
        </w:rPr>
        <w:t xml:space="preserve"> traditional quantum dots (</w:t>
      </w:r>
      <w:r>
        <w:rPr>
          <w:rFonts w:hint="eastAsia"/>
          <w:color w:val="000000"/>
          <w:kern w:val="0"/>
          <w:szCs w:val="21"/>
        </w:rPr>
        <w:t>QDs)</w:t>
      </w:r>
      <w:r>
        <w:rPr>
          <w:color w:val="000000"/>
          <w:kern w:val="0"/>
          <w:szCs w:val="21"/>
        </w:rPr>
        <w:t xml:space="preserve">, </w:t>
      </w:r>
      <w:r>
        <w:rPr>
          <w:rFonts w:hint="eastAsia"/>
          <w:color w:val="000000"/>
          <w:kern w:val="0"/>
          <w:szCs w:val="21"/>
        </w:rPr>
        <w:t>a</w:t>
      </w:r>
      <w:r>
        <w:rPr>
          <w:color w:val="000000"/>
          <w:kern w:val="0"/>
          <w:szCs w:val="21"/>
        </w:rPr>
        <w:t xml:space="preserve">lloyed </w:t>
      </w:r>
      <w:r>
        <w:rPr>
          <w:rFonts w:hint="eastAsia"/>
          <w:color w:val="000000"/>
          <w:kern w:val="0"/>
          <w:szCs w:val="21"/>
        </w:rPr>
        <w:t>QDs</w:t>
      </w:r>
      <w:r>
        <w:rPr>
          <w:color w:val="000000"/>
          <w:kern w:val="0"/>
          <w:szCs w:val="21"/>
        </w:rPr>
        <w:t xml:space="preserve"> can tune the optical and electrical properties by changing the composition and internal structure. In this paper</w:t>
      </w:r>
      <w:r>
        <w:rPr>
          <w:rFonts w:hint="eastAsia"/>
          <w:color w:val="000000"/>
          <w:kern w:val="0"/>
          <w:szCs w:val="21"/>
        </w:rPr>
        <w:t>,</w:t>
      </w:r>
      <w:r>
        <w:rPr>
          <w:color w:val="000000"/>
          <w:kern w:val="0"/>
          <w:szCs w:val="21"/>
        </w:rPr>
        <w:t xml:space="preserve"> </w:t>
      </w:r>
      <w:r>
        <w:rPr>
          <w:rFonts w:hint="eastAsia"/>
          <w:color w:val="000000"/>
          <w:kern w:val="0"/>
          <w:szCs w:val="21"/>
        </w:rPr>
        <w:t xml:space="preserve">the synthesis device of CdSeS </w:t>
      </w:r>
      <w:r>
        <w:rPr>
          <w:color w:val="000000"/>
          <w:kern w:val="0"/>
          <w:szCs w:val="21"/>
        </w:rPr>
        <w:t xml:space="preserve">ternary alloyed QDs </w:t>
      </w:r>
      <w:r>
        <w:rPr>
          <w:rFonts w:hint="eastAsia"/>
          <w:color w:val="000000"/>
          <w:kern w:val="0"/>
          <w:szCs w:val="21"/>
        </w:rPr>
        <w:t>was</w:t>
      </w:r>
      <w:r>
        <w:rPr>
          <w:color w:val="000000"/>
          <w:kern w:val="0"/>
          <w:szCs w:val="21"/>
        </w:rPr>
        <w:t xml:space="preserve"> set-up based on the capillary microreactor</w:t>
      </w:r>
      <w:r>
        <w:rPr>
          <w:rFonts w:hint="eastAsia"/>
          <w:color w:val="000000"/>
          <w:kern w:val="0"/>
          <w:szCs w:val="21"/>
        </w:rPr>
        <w:t xml:space="preserve">. With the increase of the S content, the photoluminescence spectra blue-shift systematically </w:t>
      </w:r>
      <w:r>
        <w:rPr>
          <w:color w:val="000000"/>
          <w:kern w:val="0"/>
          <w:szCs w:val="21"/>
        </w:rPr>
        <w:t>across</w:t>
      </w:r>
      <w:r>
        <w:rPr>
          <w:rFonts w:hint="eastAsia"/>
          <w:color w:val="000000"/>
          <w:kern w:val="0"/>
          <w:szCs w:val="21"/>
        </w:rPr>
        <w:t xml:space="preserve"> the visible </w:t>
      </w:r>
      <w:r>
        <w:rPr>
          <w:color w:val="000000"/>
          <w:kern w:val="0"/>
          <w:szCs w:val="21"/>
        </w:rPr>
        <w:t xml:space="preserve">spectrum </w:t>
      </w:r>
      <w:r>
        <w:rPr>
          <w:rFonts w:hint="eastAsia"/>
          <w:color w:val="000000"/>
          <w:kern w:val="0"/>
          <w:szCs w:val="21"/>
        </w:rPr>
        <w:t xml:space="preserve">from 584 nm to 468 nm, indicating the formation of alloyed nanocrystals. By systematic optimization of the parameters, such as concentration, </w:t>
      </w:r>
      <w:r>
        <w:rPr>
          <w:color w:val="000000"/>
          <w:kern w:val="0"/>
          <w:szCs w:val="21"/>
        </w:rPr>
        <w:t>residence</w:t>
      </w:r>
      <w:r>
        <w:rPr>
          <w:rFonts w:hint="eastAsia"/>
          <w:color w:val="000000"/>
          <w:kern w:val="0"/>
          <w:szCs w:val="21"/>
        </w:rPr>
        <w:t xml:space="preserve"> time,</w:t>
      </w:r>
      <w:r>
        <w:rPr>
          <w:color w:val="000000"/>
          <w:kern w:val="0"/>
          <w:szCs w:val="21"/>
        </w:rPr>
        <w:t xml:space="preserve"> and temperature</w:t>
      </w:r>
      <w:r>
        <w:rPr>
          <w:rFonts w:hint="eastAsia"/>
          <w:color w:val="000000"/>
          <w:kern w:val="0"/>
          <w:szCs w:val="21"/>
        </w:rPr>
        <w:t xml:space="preserve"> and so on, high-quality CdSeS alloyed QDs with FWHM for the photoluminescence peak only 31nm were </w:t>
      </w:r>
      <w:r>
        <w:rPr>
          <w:color w:val="000000"/>
          <w:kern w:val="0"/>
          <w:szCs w:val="21"/>
        </w:rPr>
        <w:t>prepared. In order to improve fluorescence quantum yields and reduce the toxicity,</w:t>
      </w:r>
      <w:r>
        <w:rPr>
          <w:rFonts w:hint="eastAsia"/>
          <w:color w:val="000000"/>
          <w:kern w:val="0"/>
          <w:szCs w:val="21"/>
        </w:rPr>
        <w:t xml:space="preserve"> </w:t>
      </w:r>
      <w:r>
        <w:rPr>
          <w:color w:val="000000"/>
          <w:kern w:val="0"/>
          <w:szCs w:val="21"/>
        </w:rPr>
        <w:t xml:space="preserve">CdSeS / ZnS core-shell quantum dots </w:t>
      </w:r>
      <w:r>
        <w:rPr>
          <w:rFonts w:hint="eastAsia"/>
          <w:color w:val="000000"/>
          <w:kern w:val="0"/>
          <w:szCs w:val="21"/>
        </w:rPr>
        <w:t xml:space="preserve">were </w:t>
      </w:r>
      <w:r>
        <w:rPr>
          <w:color w:val="000000"/>
          <w:kern w:val="0"/>
          <w:szCs w:val="21"/>
        </w:rPr>
        <w:t>synthesized</w:t>
      </w:r>
      <w:r>
        <w:rPr>
          <w:rFonts w:hint="eastAsia"/>
          <w:color w:val="000000"/>
          <w:kern w:val="0"/>
          <w:szCs w:val="21"/>
        </w:rPr>
        <w:t xml:space="preserve">. </w:t>
      </w:r>
      <w:r>
        <w:rPr>
          <w:color w:val="000000"/>
          <w:kern w:val="0"/>
          <w:szCs w:val="21"/>
        </w:rPr>
        <w:t xml:space="preserve">To </w:t>
      </w:r>
      <w:r>
        <w:rPr>
          <w:rFonts w:hint="eastAsia"/>
          <w:color w:val="000000"/>
          <w:kern w:val="0"/>
          <w:szCs w:val="21"/>
        </w:rPr>
        <w:t xml:space="preserve">confirm the optimal synthesis conditions, </w:t>
      </w:r>
      <w:r>
        <w:rPr>
          <w:color w:val="000000"/>
          <w:kern w:val="0"/>
          <w:szCs w:val="21"/>
        </w:rPr>
        <w:t>its reaction kinetics data were analyzed</w:t>
      </w:r>
      <w:r>
        <w:rPr>
          <w:rFonts w:hint="eastAsia"/>
          <w:color w:val="000000"/>
          <w:kern w:val="0"/>
          <w:szCs w:val="21"/>
        </w:rPr>
        <w:t xml:space="preserve">. </w:t>
      </w:r>
    </w:p>
    <w:p w:rsidR="00B61B0C" w:rsidRDefault="00B92C07">
      <w:pPr>
        <w:spacing w:beforeLines="50" w:before="156" w:afterLines="150" w:after="468" w:line="240" w:lineRule="exact"/>
        <w:rPr>
          <w:szCs w:val="21"/>
        </w:rPr>
        <w:sectPr w:rsidR="00B61B0C" w:rsidSect="001F2CC3">
          <w:headerReference w:type="even" r:id="rId7"/>
          <w:headerReference w:type="default" r:id="rId8"/>
          <w:type w:val="continuous"/>
          <w:pgSz w:w="11906" w:h="16838"/>
          <w:pgMar w:top="1134" w:right="851" w:bottom="1134" w:left="1134" w:header="1134" w:footer="992" w:gutter="0"/>
          <w:pgNumType w:fmt="numberInDash"/>
          <w:cols w:space="720"/>
          <w:docGrid w:type="linesAndChars" w:linePitch="312"/>
        </w:sectPr>
      </w:pPr>
      <w:r>
        <w:rPr>
          <w:rFonts w:hint="eastAsia"/>
          <w:b/>
          <w:szCs w:val="21"/>
        </w:rPr>
        <w:t>Keywords:</w:t>
      </w:r>
      <w:r>
        <w:rPr>
          <w:rFonts w:hint="eastAsia"/>
          <w:szCs w:val="21"/>
        </w:rPr>
        <w:t xml:space="preserve"> Microreaction; Alloyed quantum dot; Core-shell structure</w:t>
      </w:r>
    </w:p>
    <w:p w:rsidR="00B61B0C" w:rsidRDefault="00B92C07">
      <w:pPr>
        <w:spacing w:afterLines="50" w:after="156" w:line="240" w:lineRule="exact"/>
        <w:rPr>
          <w:b/>
          <w:szCs w:val="21"/>
        </w:rPr>
      </w:pPr>
      <w:r>
        <w:rPr>
          <w:rFonts w:hint="eastAsia"/>
          <w:b/>
          <w:szCs w:val="21"/>
        </w:rPr>
        <w:lastRenderedPageBreak/>
        <w:t xml:space="preserve">1 </w:t>
      </w:r>
      <w:r>
        <w:rPr>
          <w:rFonts w:hint="eastAsia"/>
          <w:b/>
          <w:szCs w:val="21"/>
        </w:rPr>
        <w:t>引言</w:t>
      </w:r>
      <w:r>
        <w:rPr>
          <w:rFonts w:hint="eastAsia"/>
          <w:b/>
          <w:color w:val="0000FF"/>
          <w:szCs w:val="21"/>
        </w:rPr>
        <w:t>（一级标题五号，加粗，段前段后各</w:t>
      </w:r>
      <w:r>
        <w:rPr>
          <w:rFonts w:hint="eastAsia"/>
          <w:b/>
          <w:color w:val="0000FF"/>
          <w:szCs w:val="21"/>
        </w:rPr>
        <w:t>0.5</w:t>
      </w:r>
      <w:r>
        <w:rPr>
          <w:rFonts w:hint="eastAsia"/>
          <w:b/>
          <w:color w:val="0000FF"/>
          <w:szCs w:val="21"/>
        </w:rPr>
        <w:t>行）</w:t>
      </w:r>
    </w:p>
    <w:p w:rsidR="00B61B0C" w:rsidRDefault="00B92C07">
      <w:pPr>
        <w:spacing w:line="240" w:lineRule="exact"/>
        <w:ind w:firstLineChars="200" w:firstLine="420"/>
      </w:pPr>
      <w:r>
        <w:t>量子点，又称无机荧光纳米晶，当</w:t>
      </w:r>
      <w:r>
        <w:rPr>
          <w:rFonts w:hint="eastAsia"/>
        </w:rPr>
        <w:t>其</w:t>
      </w:r>
      <w:r>
        <w:t>尺寸与激子的波尔半径（约</w:t>
      </w:r>
      <w:r>
        <w:t>5</w:t>
      </w:r>
      <w:r>
        <w:t>－</w:t>
      </w:r>
      <w:r>
        <w:t>10</w:t>
      </w:r>
      <w:r>
        <w:rPr>
          <w:rFonts w:hint="eastAsia"/>
        </w:rPr>
        <w:t xml:space="preserve"> </w:t>
      </w:r>
      <w:r>
        <w:t>nm</w:t>
      </w:r>
      <w:r>
        <w:t>）相近时，由于电子波函数的量子限制效应，量子点能带的有效带隙随粒子的半径减少而增加，宏观表现在吸收光谱和荧光光谱的蓝移，因此可以通过改变量子点的尺寸</w:t>
      </w:r>
      <w:r>
        <w:rPr>
          <w:rFonts w:hint="eastAsia"/>
        </w:rPr>
        <w:t>实现对</w:t>
      </w:r>
      <w:r>
        <w:t>光电性质</w:t>
      </w:r>
      <w:r>
        <w:rPr>
          <w:rFonts w:hint="eastAsia"/>
        </w:rPr>
        <w:t>的</w:t>
      </w:r>
      <w:r>
        <w:t>调控</w:t>
      </w:r>
      <w:r>
        <w:rPr>
          <w:rFonts w:hint="eastAsia"/>
          <w:szCs w:val="21"/>
          <w:vertAlign w:val="superscript"/>
        </w:rPr>
        <w:t>[1-4]</w:t>
      </w:r>
      <w:r>
        <w:t>。</w:t>
      </w:r>
      <w:r>
        <w:rPr>
          <w:rFonts w:hint="eastAsia"/>
        </w:rPr>
        <w:t>与有机荧光材料相比，量子点</w:t>
      </w:r>
      <w:r>
        <w:t>具有</w:t>
      </w:r>
      <w:r>
        <w:rPr>
          <w:rFonts w:hint="eastAsia"/>
        </w:rPr>
        <w:t>荧光</w:t>
      </w:r>
      <w:r>
        <w:t>性能稳定、不易光漂白、激发光谱宽、荧光光谱窄、发光性能受周围环境影响小等特点，在生物医药、催化、信息存储、太阳能电池以及发光器件等诸多领域具有广阔的应用前景。</w:t>
      </w:r>
    </w:p>
    <w:p w:rsidR="00B61B0C" w:rsidRDefault="00B92C07">
      <w:pPr>
        <w:spacing w:line="240" w:lineRule="exact"/>
        <w:ind w:firstLineChars="200" w:firstLine="420"/>
      </w:pPr>
      <w:r>
        <w:rPr>
          <w:rFonts w:hint="eastAsia"/>
        </w:rPr>
        <w:t>合成高质量、无毒的产品是目前量子点研究的发展方向。在过去的二十年里，科学家们致力于研究尺寸可调、发光颜色不同的二元纳米晶（以</w:t>
      </w:r>
      <w:r>
        <w:rPr>
          <w:rFonts w:hint="eastAsia"/>
        </w:rPr>
        <w:t>CdSe</w:t>
      </w:r>
      <w:r>
        <w:rPr>
          <w:rFonts w:hint="eastAsia"/>
        </w:rPr>
        <w:t>为代表的Ⅱ—Ⅵ族量子点等）和核</w:t>
      </w:r>
      <w:r>
        <w:rPr>
          <w:rFonts w:hint="eastAsia"/>
        </w:rPr>
        <w:t>-</w:t>
      </w:r>
      <w:r>
        <w:rPr>
          <w:rFonts w:hint="eastAsia"/>
        </w:rPr>
        <w:t>壳结构纳米晶（</w:t>
      </w:r>
      <w:r>
        <w:rPr>
          <w:rFonts w:hint="eastAsia"/>
        </w:rPr>
        <w:t>CdSe/ZnS</w:t>
      </w:r>
      <w:r>
        <w:rPr>
          <w:rFonts w:hint="eastAsia"/>
        </w:rPr>
        <w:t>、</w:t>
      </w:r>
      <w:r>
        <w:rPr>
          <w:rFonts w:hint="eastAsia"/>
        </w:rPr>
        <w:t>CdSe/CdS</w:t>
      </w:r>
      <w:r>
        <w:rPr>
          <w:rFonts w:hint="eastAsia"/>
        </w:rPr>
        <w:t>等）</w:t>
      </w:r>
      <w:r>
        <w:rPr>
          <w:rFonts w:hint="eastAsia"/>
          <w:szCs w:val="21"/>
          <w:vertAlign w:val="superscript"/>
        </w:rPr>
        <w:t>[5-7]</w:t>
      </w:r>
      <w:r>
        <w:rPr>
          <w:rFonts w:hint="eastAsia"/>
        </w:rPr>
        <w:t>，这些研究都是通过改变量子点的尺寸来实现其对荧光波长、物理化学性质的调控，具有很大的局限性。其中最主要的是高质量小尺寸的量子点难以合成，因为小尺寸量子点的表面缺陷会使其荧光效率和稳定性显著降低，虽然利用有机或无机材料对其进行表面修饰会使荧光性能改善，但伴随的尺寸增大使其难以渗透细胞膜，限制了量子点的实际应用。所以，迫切需要开发一种新的合成方法来合成高荧光稳定性的量子点，合金量子点可以通过改变组分和内部结构实现光电性能的调控，并且具有优越的荧光稳定性、高的荧光效率以及宽的发光范围，受到了人们广泛的关注</w:t>
      </w:r>
      <w:r>
        <w:rPr>
          <w:rFonts w:hint="eastAsia"/>
          <w:szCs w:val="21"/>
          <w:vertAlign w:val="superscript"/>
        </w:rPr>
        <w:t>[8-10]</w:t>
      </w:r>
      <w:r>
        <w:rPr>
          <w:rFonts w:hint="eastAsia"/>
        </w:rPr>
        <w:t>。本文选用</w:t>
      </w:r>
      <w:r>
        <w:rPr>
          <w:rFonts w:hint="eastAsia"/>
        </w:rPr>
        <w:t>CdSeS</w:t>
      </w:r>
      <w:r>
        <w:rPr>
          <w:rFonts w:hint="eastAsia"/>
        </w:rPr>
        <w:t>三元合金量子点作为研究对</w:t>
      </w:r>
      <w:r>
        <w:rPr>
          <w:rFonts w:hint="eastAsia"/>
        </w:rPr>
        <w:lastRenderedPageBreak/>
        <w:t>象。</w:t>
      </w:r>
    </w:p>
    <w:p w:rsidR="00B61B0C" w:rsidRDefault="00B92C07">
      <w:pPr>
        <w:spacing w:line="240" w:lineRule="exact"/>
        <w:ind w:firstLineChars="200" w:firstLine="420"/>
      </w:pPr>
      <w:r>
        <w:rPr>
          <w:rFonts w:hint="eastAsia"/>
        </w:rPr>
        <w:t>目前普遍采用合成量子点的方法是</w:t>
      </w:r>
      <w:r>
        <w:rPr>
          <w:rFonts w:hint="eastAsia"/>
        </w:rPr>
        <w:t>1993</w:t>
      </w:r>
      <w:r>
        <w:rPr>
          <w:rFonts w:hint="eastAsia"/>
        </w:rPr>
        <w:t>年美国麻省理工学院</w:t>
      </w:r>
      <w:r>
        <w:rPr>
          <w:rFonts w:hint="eastAsia"/>
        </w:rPr>
        <w:t>Murray</w:t>
      </w:r>
      <w:r>
        <w:rPr>
          <w:rFonts w:hint="eastAsia"/>
          <w:szCs w:val="21"/>
          <w:vertAlign w:val="superscript"/>
        </w:rPr>
        <w:t>[11]</w:t>
      </w:r>
      <w:r>
        <w:rPr>
          <w:rFonts w:hint="eastAsia"/>
        </w:rPr>
        <w:t>等在烧瓶中开发的基于注射工艺的有机金属高温热解法。此法</w:t>
      </w:r>
      <w:r>
        <w:t>合成</w:t>
      </w:r>
      <w:r>
        <w:rPr>
          <w:rFonts w:hint="eastAsia"/>
        </w:rPr>
        <w:t>合金</w:t>
      </w:r>
      <w:r>
        <w:t>量子点存在</w:t>
      </w:r>
      <w:r>
        <w:rPr>
          <w:rFonts w:hint="eastAsia"/>
        </w:rPr>
        <w:t>许多</w:t>
      </w:r>
      <w:r>
        <w:t>缺点</w:t>
      </w:r>
      <w:r>
        <w:rPr>
          <w:rFonts w:hint="eastAsia"/>
        </w:rPr>
        <w:t>，如</w:t>
      </w:r>
      <w:r>
        <w:t>间歇式合成工艺的复杂性</w:t>
      </w:r>
      <w:r>
        <w:rPr>
          <w:rFonts w:hint="eastAsia"/>
        </w:rPr>
        <w:t>会</w:t>
      </w:r>
      <w:r>
        <w:t>导致低产率和放大困难、工艺过程的不稳定带来可重复性差、副反应的抑制障碍和物化参数的非均匀性导致产物性能不佳、反应机理的事后解析带来的时间和原材料的浪费等问题，成为制约量子点合成和应用的瓶颈，导致高质量的量子点市售价格高居不下。</w:t>
      </w:r>
      <w:r>
        <w:rPr>
          <w:rFonts w:hint="eastAsia"/>
        </w:rPr>
        <w:t>微通道中极高的传热效率和稳定的反应条件极好的解决了这些问题，使用微反应法合成量子点具有可重复性好、温度和时间可以精确控制、能在线监测、规模化生产等特点。</w:t>
      </w:r>
    </w:p>
    <w:p w:rsidR="00B61B0C" w:rsidRDefault="00B92C07">
      <w:pPr>
        <w:spacing w:beforeLines="50" w:before="156" w:afterLines="50" w:after="156"/>
        <w:rPr>
          <w:b/>
          <w:szCs w:val="21"/>
        </w:rPr>
      </w:pPr>
      <w:r>
        <w:rPr>
          <w:rFonts w:hint="eastAsia"/>
          <w:b/>
          <w:szCs w:val="21"/>
        </w:rPr>
        <w:t>2</w:t>
      </w:r>
      <w:r>
        <w:rPr>
          <w:rFonts w:hint="eastAsia"/>
          <w:b/>
          <w:szCs w:val="21"/>
        </w:rPr>
        <w:t>实验部分</w:t>
      </w:r>
    </w:p>
    <w:p w:rsidR="00B61B0C" w:rsidRDefault="00B92C07">
      <w:pPr>
        <w:pStyle w:val="2"/>
        <w:tabs>
          <w:tab w:val="clear" w:pos="576"/>
        </w:tabs>
        <w:spacing w:beforeLines="50" w:before="156" w:afterLines="50" w:after="156"/>
        <w:ind w:left="578" w:hanging="578"/>
        <w:rPr>
          <w:rFonts w:eastAsia="宋体"/>
          <w:b w:val="0"/>
        </w:rPr>
      </w:pPr>
      <w:r>
        <w:rPr>
          <w:rFonts w:eastAsia="宋体" w:hAnsi="宋体"/>
          <w:b w:val="0"/>
        </w:rPr>
        <w:t>试剂</w:t>
      </w:r>
      <w:r>
        <w:rPr>
          <w:rFonts w:hint="eastAsia"/>
          <w:color w:val="0000FF"/>
          <w:szCs w:val="21"/>
        </w:rPr>
        <w:t>（二级标题五号，段前段后各</w:t>
      </w:r>
      <w:r>
        <w:rPr>
          <w:rFonts w:hint="eastAsia"/>
          <w:color w:val="0000FF"/>
          <w:szCs w:val="21"/>
        </w:rPr>
        <w:t>0.5</w:t>
      </w:r>
      <w:r>
        <w:rPr>
          <w:rFonts w:hint="eastAsia"/>
          <w:color w:val="0000FF"/>
          <w:szCs w:val="21"/>
        </w:rPr>
        <w:t>行）</w:t>
      </w:r>
    </w:p>
    <w:p w:rsidR="00B61B0C" w:rsidRDefault="00B92C07">
      <w:pPr>
        <w:spacing w:afterLines="50" w:after="156" w:line="240" w:lineRule="exact"/>
        <w:ind w:firstLineChars="200" w:firstLine="420"/>
      </w:pPr>
      <w:r>
        <w:rPr>
          <w:rFonts w:hAnsi="宋体"/>
        </w:rPr>
        <w:t>氧化镉</w:t>
      </w:r>
      <w:r>
        <w:t>(CdO,99.9%)</w:t>
      </w:r>
      <w:r>
        <w:rPr>
          <w:rFonts w:hAnsi="宋体"/>
        </w:rPr>
        <w:t>、硒粉</w:t>
      </w:r>
      <w:r>
        <w:t>(Se,99.5%)</w:t>
      </w:r>
      <w:r>
        <w:rPr>
          <w:rFonts w:hAnsi="宋体"/>
        </w:rPr>
        <w:t>、硫粉</w:t>
      </w:r>
      <w:r>
        <w:t>(S,99.9%)</w:t>
      </w:r>
      <w:r>
        <w:rPr>
          <w:rFonts w:hAnsi="宋体"/>
        </w:rPr>
        <w:t>、油酸</w:t>
      </w:r>
      <w:r>
        <w:t>(Oleic Acid,90%)</w:t>
      </w:r>
      <w:r>
        <w:rPr>
          <w:rFonts w:hAnsi="宋体"/>
        </w:rPr>
        <w:t>、二乙基二硫代氨基甲酸锌</w:t>
      </w:r>
      <w:r>
        <w:rPr>
          <w:rFonts w:hAnsi="宋体"/>
          <w:color w:val="000000"/>
          <w:kern w:val="0"/>
          <w:sz w:val="24"/>
        </w:rPr>
        <w:t>（</w:t>
      </w:r>
      <w:r>
        <w:t>ZDC</w:t>
      </w:r>
      <w:r>
        <w:rPr>
          <w:rFonts w:hAnsi="宋体"/>
          <w:color w:val="000000"/>
          <w:kern w:val="0"/>
          <w:sz w:val="24"/>
        </w:rPr>
        <w:t>）</w:t>
      </w:r>
      <w:r>
        <w:rPr>
          <w:rFonts w:hAnsi="宋体"/>
        </w:rPr>
        <w:t>购于中国医药（集团）上海化学试剂公司。三辛基磷</w:t>
      </w:r>
      <w:r>
        <w:t>(TOP</w:t>
      </w:r>
      <w:r>
        <w:rPr>
          <w:rFonts w:hAnsi="宋体"/>
        </w:rPr>
        <w:t>，</w:t>
      </w:r>
      <w:r>
        <w:t>90</w:t>
      </w:r>
      <w:r>
        <w:rPr>
          <w:rFonts w:hAnsi="宋体"/>
        </w:rPr>
        <w:t>％</w:t>
      </w:r>
      <w:r>
        <w:t>)</w:t>
      </w:r>
      <w:r>
        <w:rPr>
          <w:rFonts w:hAnsi="宋体"/>
        </w:rPr>
        <w:t>和油胺</w:t>
      </w:r>
      <w:r>
        <w:t>(OLA,70%)</w:t>
      </w:r>
      <w:r>
        <w:rPr>
          <w:rFonts w:hAnsi="宋体"/>
        </w:rPr>
        <w:t>购于</w:t>
      </w:r>
      <w:r>
        <w:t>Fluka</w:t>
      </w:r>
      <w:r>
        <w:rPr>
          <w:rFonts w:hAnsi="宋体"/>
        </w:rPr>
        <w:t>。十八烯</w:t>
      </w:r>
      <w:r>
        <w:t>(ODE,90%)</w:t>
      </w:r>
      <w:r>
        <w:rPr>
          <w:rFonts w:hAnsi="宋体"/>
        </w:rPr>
        <w:t>购于</w:t>
      </w:r>
      <w:r>
        <w:t>Fisher</w:t>
      </w:r>
      <w:r>
        <w:rPr>
          <w:rFonts w:hAnsi="宋体"/>
        </w:rPr>
        <w:t>。</w:t>
      </w:r>
    </w:p>
    <w:p w:rsidR="00B61B0C" w:rsidRDefault="00B92C07">
      <w:pPr>
        <w:pStyle w:val="2"/>
        <w:tabs>
          <w:tab w:val="clear" w:pos="576"/>
        </w:tabs>
        <w:spacing w:afterLines="50" w:after="156" w:line="240" w:lineRule="exact"/>
        <w:ind w:left="391" w:hanging="391"/>
        <w:rPr>
          <w:rFonts w:eastAsia="宋体"/>
          <w:b w:val="0"/>
        </w:rPr>
      </w:pPr>
      <w:r>
        <w:rPr>
          <w:rFonts w:eastAsia="宋体" w:hAnsi="宋体"/>
          <w:b w:val="0"/>
        </w:rPr>
        <w:t>毛细管微反应装置的搭建</w:t>
      </w:r>
    </w:p>
    <w:p w:rsidR="00B61B0C" w:rsidRDefault="00B92C07">
      <w:pPr>
        <w:spacing w:line="240" w:lineRule="exact"/>
        <w:ind w:firstLineChars="200" w:firstLine="420"/>
        <w:sectPr w:rsidR="00B61B0C">
          <w:type w:val="continuous"/>
          <w:pgSz w:w="11906" w:h="16838"/>
          <w:pgMar w:top="1134" w:right="851" w:bottom="1134" w:left="1134" w:header="1134" w:footer="992" w:gutter="0"/>
          <w:pgNumType w:fmt="numberInDash"/>
          <w:cols w:num="2" w:space="425"/>
          <w:docGrid w:type="linesAndChars" w:linePitch="312"/>
        </w:sectPr>
      </w:pPr>
      <w:r>
        <w:rPr>
          <w:rFonts w:hint="eastAsia"/>
        </w:rPr>
        <w:t>整个微反应系统主要由进样、混合和反应加热三个部分组成，如图</w:t>
      </w:r>
      <w:r>
        <w:rPr>
          <w:rFonts w:hint="eastAsia"/>
        </w:rPr>
        <w:t>1</w:t>
      </w:r>
      <w:r>
        <w:rPr>
          <w:rFonts w:hint="eastAsia"/>
        </w:rPr>
        <w:t>所示。</w:t>
      </w:r>
    </w:p>
    <w:p w:rsidR="00B61B0C" w:rsidRDefault="009441B5">
      <w:pPr>
        <w:jc w:val="center"/>
        <w:rPr>
          <w:sz w:val="22"/>
          <w:szCs w:val="21"/>
        </w:rPr>
      </w:pPr>
      <w:r>
        <w:rPr>
          <w:noProof/>
          <w:sz w:val="22"/>
          <w:szCs w:val="21"/>
        </w:rPr>
        <w:lastRenderedPageBreak/>
        <w:drawing>
          <wp:inline distT="0" distB="0" distL="0" distR="0">
            <wp:extent cx="3295015" cy="1207770"/>
            <wp:effectExtent l="0" t="0" r="635"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15" cy="1207770"/>
                    </a:xfrm>
                    <a:prstGeom prst="rect">
                      <a:avLst/>
                    </a:prstGeom>
                    <a:noFill/>
                    <a:ln>
                      <a:noFill/>
                    </a:ln>
                  </pic:spPr>
                </pic:pic>
              </a:graphicData>
            </a:graphic>
          </wp:inline>
        </w:drawing>
      </w:r>
    </w:p>
    <w:p w:rsidR="00B61B0C" w:rsidRDefault="00B92C07">
      <w:pPr>
        <w:pStyle w:val="FigCHeading"/>
        <w:numPr>
          <w:ilvl w:val="0"/>
          <w:numId w:val="0"/>
        </w:numPr>
        <w:tabs>
          <w:tab w:val="left" w:pos="360"/>
        </w:tabs>
        <w:spacing w:line="240" w:lineRule="exact"/>
        <w:rPr>
          <w:rFonts w:ascii="宋体" w:eastAsia="宋体" w:hAnsi="宋体"/>
          <w:b w:val="0"/>
          <w:bCs/>
          <w:sz w:val="21"/>
          <w:szCs w:val="21"/>
        </w:rPr>
      </w:pPr>
      <w:r>
        <w:rPr>
          <w:rFonts w:ascii="宋体" w:eastAsia="宋体" w:hAnsi="宋体"/>
          <w:b w:val="0"/>
          <w:bCs/>
          <w:sz w:val="21"/>
          <w:szCs w:val="21"/>
        </w:rPr>
        <w:t>图</w:t>
      </w:r>
      <w:r>
        <w:rPr>
          <w:rFonts w:eastAsia="宋体"/>
          <w:b w:val="0"/>
          <w:bCs/>
          <w:sz w:val="21"/>
          <w:szCs w:val="21"/>
        </w:rPr>
        <w:t xml:space="preserve">1 </w:t>
      </w:r>
      <w:r>
        <w:rPr>
          <w:rFonts w:ascii="宋体" w:eastAsia="宋体" w:hAnsi="宋体" w:hint="eastAsia"/>
          <w:b w:val="0"/>
          <w:bCs/>
          <w:sz w:val="21"/>
          <w:szCs w:val="21"/>
        </w:rPr>
        <w:t xml:space="preserve"> </w:t>
      </w:r>
      <w:r>
        <w:rPr>
          <w:rFonts w:ascii="宋体" w:eastAsia="宋体" w:hAnsi="宋体"/>
          <w:b w:val="0"/>
          <w:bCs/>
          <w:sz w:val="21"/>
          <w:szCs w:val="21"/>
        </w:rPr>
        <w:t>微反应系统结构示意图</w:t>
      </w:r>
    </w:p>
    <w:p w:rsidR="00B61B0C" w:rsidRDefault="00B92C07">
      <w:pPr>
        <w:pStyle w:val="FigEHeading"/>
        <w:numPr>
          <w:ilvl w:val="0"/>
          <w:numId w:val="0"/>
        </w:numPr>
        <w:tabs>
          <w:tab w:val="left" w:pos="720"/>
        </w:tabs>
        <w:spacing w:afterLines="0" w:after="0" w:line="240" w:lineRule="exact"/>
        <w:rPr>
          <w:b w:val="0"/>
          <w:bCs w:val="0"/>
          <w:sz w:val="21"/>
          <w:szCs w:val="21"/>
        </w:rPr>
      </w:pPr>
      <w:r>
        <w:rPr>
          <w:rFonts w:hint="eastAsia"/>
          <w:b w:val="0"/>
          <w:bCs w:val="0"/>
          <w:sz w:val="21"/>
          <w:szCs w:val="21"/>
        </w:rPr>
        <w:t xml:space="preserve">Fig.1 Schematic of </w:t>
      </w:r>
      <w:r>
        <w:rPr>
          <w:b w:val="0"/>
          <w:bCs w:val="0"/>
          <w:sz w:val="21"/>
          <w:szCs w:val="21"/>
        </w:rPr>
        <w:t>microfluidic</w:t>
      </w:r>
      <w:r>
        <w:rPr>
          <w:rFonts w:hint="eastAsia"/>
          <w:b w:val="0"/>
          <w:bCs w:val="0"/>
          <w:sz w:val="21"/>
          <w:szCs w:val="21"/>
        </w:rPr>
        <w:t xml:space="preserve"> reactor</w:t>
      </w:r>
    </w:p>
    <w:p w:rsidR="00B61B0C" w:rsidRDefault="00B92C07">
      <w:pPr>
        <w:spacing w:line="240" w:lineRule="exact"/>
        <w:ind w:leftChars="18" w:left="53" w:hangingChars="7" w:hanging="15"/>
        <w:jc w:val="center"/>
        <w:outlineLvl w:val="0"/>
        <w:rPr>
          <w:b/>
          <w:color w:val="0000FF"/>
          <w:szCs w:val="21"/>
        </w:rPr>
      </w:pPr>
      <w:r>
        <w:rPr>
          <w:rFonts w:hint="eastAsia"/>
          <w:b/>
          <w:color w:val="0000FF"/>
          <w:szCs w:val="21"/>
        </w:rPr>
        <w:t>（图下文字五号，居中，中英文标注）</w:t>
      </w:r>
    </w:p>
    <w:p w:rsidR="00B61B0C" w:rsidRDefault="00B92C07">
      <w:pPr>
        <w:spacing w:beforeLines="50" w:before="156"/>
        <w:ind w:firstLineChars="200" w:firstLine="420"/>
      </w:pPr>
      <w:r>
        <w:rPr>
          <w:rFonts w:hint="eastAsia"/>
        </w:rPr>
        <w:t>和热源组成，其中温控是整个连续微反应系统设计的关键，热源选择由程序升温的油浴提供，其温控精度为</w:t>
      </w:r>
      <w:r>
        <w:t>±</w:t>
      </w:r>
      <w:r>
        <w:rPr>
          <w:rFonts w:hint="eastAsia"/>
        </w:rPr>
        <w:t>1</w:t>
      </w:r>
      <w:r>
        <w:t>℃</w:t>
      </w:r>
      <w:r>
        <w:rPr>
          <w:rFonts w:hint="eastAsia"/>
        </w:rPr>
        <w:t>。</w:t>
      </w:r>
    </w:p>
    <w:p w:rsidR="00B61B0C" w:rsidRDefault="00B92C07">
      <w:pPr>
        <w:rPr>
          <w:b/>
          <w:color w:val="0000FF"/>
          <w:szCs w:val="21"/>
        </w:rPr>
      </w:pPr>
      <w:r>
        <w:rPr>
          <w:rFonts w:hint="eastAsia"/>
          <w:b/>
          <w:color w:val="0000FF"/>
          <w:szCs w:val="21"/>
        </w:rPr>
        <w:t>(</w:t>
      </w:r>
      <w:r>
        <w:rPr>
          <w:rFonts w:hint="eastAsia"/>
          <w:b/>
          <w:color w:val="0000FF"/>
          <w:szCs w:val="21"/>
        </w:rPr>
        <w:t>所有与图表相接的文字与图表间行距为</w:t>
      </w:r>
      <w:r>
        <w:rPr>
          <w:rFonts w:hint="eastAsia"/>
          <w:b/>
          <w:color w:val="0000FF"/>
          <w:szCs w:val="21"/>
        </w:rPr>
        <w:t>0.5</w:t>
      </w:r>
      <w:r>
        <w:rPr>
          <w:rFonts w:hint="eastAsia"/>
          <w:b/>
          <w:color w:val="0000FF"/>
          <w:szCs w:val="21"/>
        </w:rPr>
        <w:t>行</w:t>
      </w:r>
      <w:r>
        <w:rPr>
          <w:rFonts w:hint="eastAsia"/>
          <w:b/>
          <w:color w:val="0000FF"/>
          <w:szCs w:val="21"/>
        </w:rPr>
        <w:t>)</w:t>
      </w:r>
    </w:p>
    <w:p w:rsidR="00B61B0C" w:rsidRDefault="00B92C07">
      <w:pPr>
        <w:pStyle w:val="2"/>
        <w:tabs>
          <w:tab w:val="clear" w:pos="576"/>
        </w:tabs>
        <w:spacing w:beforeLines="50" w:before="156" w:afterLines="50" w:after="156" w:line="240" w:lineRule="exact"/>
        <w:ind w:left="391" w:hanging="391"/>
        <w:rPr>
          <w:rFonts w:eastAsia="宋体"/>
          <w:b w:val="0"/>
        </w:rPr>
      </w:pPr>
      <w:r>
        <w:rPr>
          <w:rFonts w:eastAsia="宋体" w:hint="eastAsia"/>
          <w:b w:val="0"/>
        </w:rPr>
        <w:t>CdSeS</w:t>
      </w:r>
      <w:r>
        <w:rPr>
          <w:rFonts w:eastAsia="宋体" w:hint="eastAsia"/>
          <w:b w:val="0"/>
        </w:rPr>
        <w:t>三元合金量子点的合成</w:t>
      </w:r>
    </w:p>
    <w:p w:rsidR="00B61B0C" w:rsidRDefault="00B92C07">
      <w:pPr>
        <w:spacing w:line="240" w:lineRule="exact"/>
        <w:ind w:firstLineChars="200" w:firstLine="420"/>
      </w:pPr>
      <w:r>
        <w:rPr>
          <w:rFonts w:hint="eastAsia"/>
        </w:rPr>
        <w:t>将</w:t>
      </w:r>
      <w:r>
        <w:rPr>
          <w:rFonts w:hint="eastAsia"/>
        </w:rPr>
        <w:t>1 mmol CdO(128.5 mg)</w:t>
      </w:r>
      <w:r>
        <w:rPr>
          <w:rFonts w:hint="eastAsia"/>
        </w:rPr>
        <w:t>在高温、高速磁力搅拌下溶于</w:t>
      </w:r>
      <w:r>
        <w:rPr>
          <w:rFonts w:hint="eastAsia"/>
        </w:rPr>
        <w:t>1 ml</w:t>
      </w:r>
      <w:r>
        <w:rPr>
          <w:rFonts w:hint="eastAsia"/>
        </w:rPr>
        <w:t>油酸和</w:t>
      </w:r>
      <w:r>
        <w:rPr>
          <w:rFonts w:hint="eastAsia"/>
        </w:rPr>
        <w:t>2 ml</w:t>
      </w:r>
      <w:r>
        <w:rPr>
          <w:rFonts w:hint="eastAsia"/>
        </w:rPr>
        <w:t>油胺（总共</w:t>
      </w:r>
      <w:r>
        <w:rPr>
          <w:rFonts w:hint="eastAsia"/>
        </w:rPr>
        <w:t>3 ml</w:t>
      </w:r>
      <w:r>
        <w:rPr>
          <w:rFonts w:hint="eastAsia"/>
        </w:rPr>
        <w:t>）中，形成清澈的</w:t>
      </w:r>
      <w:r>
        <w:rPr>
          <w:rFonts w:hint="eastAsia"/>
        </w:rPr>
        <w:t>Cd</w:t>
      </w:r>
      <w:r>
        <w:rPr>
          <w:rFonts w:hint="eastAsia"/>
        </w:rPr>
        <w:t>前驱体溶液；将</w:t>
      </w:r>
      <w:r>
        <w:rPr>
          <w:rFonts w:hint="eastAsia"/>
        </w:rPr>
        <w:t>0.04 mmol Se(3.16 mg)</w:t>
      </w:r>
      <w:r>
        <w:rPr>
          <w:rFonts w:hint="eastAsia"/>
        </w:rPr>
        <w:t>和</w:t>
      </w:r>
      <w:r>
        <w:rPr>
          <w:rFonts w:hint="eastAsia"/>
        </w:rPr>
        <w:t>0.4 mmol S(12.8 mg)</w:t>
      </w:r>
      <w:r>
        <w:rPr>
          <w:rFonts w:hint="eastAsia"/>
        </w:rPr>
        <w:t>在常温、高速磁力搅拌下溶于</w:t>
      </w:r>
      <w:r>
        <w:rPr>
          <w:rFonts w:hint="eastAsia"/>
        </w:rPr>
        <w:t>1 ml TOP</w:t>
      </w:r>
      <w:r>
        <w:rPr>
          <w:rFonts w:hint="eastAsia"/>
        </w:rPr>
        <w:t>和</w:t>
      </w:r>
      <w:r>
        <w:rPr>
          <w:rFonts w:hint="eastAsia"/>
        </w:rPr>
        <w:t>2 ml ODE(</w:t>
      </w:r>
      <w:r>
        <w:rPr>
          <w:rFonts w:hint="eastAsia"/>
        </w:rPr>
        <w:t>总共</w:t>
      </w:r>
      <w:r>
        <w:rPr>
          <w:rFonts w:hint="eastAsia"/>
        </w:rPr>
        <w:t>3 ml)</w:t>
      </w:r>
      <w:r>
        <w:rPr>
          <w:rFonts w:hint="eastAsia"/>
        </w:rPr>
        <w:t>中</w:t>
      </w:r>
      <w:r>
        <w:rPr>
          <w:rFonts w:ascii="宋体" w:hAnsi="宋体" w:hint="eastAsia"/>
        </w:rPr>
        <w:t>,</w:t>
      </w:r>
      <w:r>
        <w:rPr>
          <w:rFonts w:hint="eastAsia"/>
        </w:rPr>
        <w:t>形成</w:t>
      </w:r>
      <w:r>
        <w:rPr>
          <w:rFonts w:hint="eastAsia"/>
        </w:rPr>
        <w:t>Se</w:t>
      </w:r>
      <w:r>
        <w:rPr>
          <w:rFonts w:hint="eastAsia"/>
        </w:rPr>
        <w:t>、</w:t>
      </w:r>
      <w:r>
        <w:rPr>
          <w:rFonts w:hint="eastAsia"/>
        </w:rPr>
        <w:t>S</w:t>
      </w:r>
      <w:r>
        <w:rPr>
          <w:rFonts w:hint="eastAsia"/>
        </w:rPr>
        <w:t>前驱体溶液。反应温度设置为</w:t>
      </w:r>
      <w:r>
        <w:rPr>
          <w:rFonts w:hint="eastAsia"/>
        </w:rPr>
        <w:t>285</w:t>
      </w:r>
      <w:r>
        <w:rPr>
          <w:rFonts w:hint="eastAsia"/>
        </w:rPr>
        <w:t>℃</w:t>
      </w:r>
      <w:r>
        <w:rPr>
          <w:rFonts w:ascii="宋体" w:hAnsi="宋体" w:hint="eastAsia"/>
        </w:rPr>
        <w:t>,</w:t>
      </w:r>
      <w:r>
        <w:rPr>
          <w:rFonts w:hint="eastAsia"/>
        </w:rPr>
        <w:t>在大气环境下，将上述两种体积相等的前驱体溶液分别抽入注射器中，置于注射泵上；注射泵负责前驱体溶液的进样控制，反应停留时间可通过注射泵控制。二股流体</w:t>
      </w:r>
      <w:r>
        <w:t>在三通中汇合后进入混合腔，磁力搅拌产生的湍流效果实现两股原料的快速混合</w:t>
      </w:r>
      <w:r>
        <w:rPr>
          <w:rFonts w:hint="eastAsia"/>
        </w:rPr>
        <w:t>；混合后的溶液进入高温加热的毛细管，由于前驱体溶液从室温加热到高温时间非常短，从而达到瞬间形核的目的；溶液流出加热区域后迅速降至室温，使反应淬灭，生长过程中断，从而控制成核的大小。取样，并对样品进行表征。反应停留时间可通过注射泵控制。二股流体</w:t>
      </w:r>
      <w:r>
        <w:t>在三通中汇合后进入混合腔，磁力搅拌产</w:t>
      </w:r>
    </w:p>
    <w:p w:rsidR="00B61B0C" w:rsidRDefault="00B92C07">
      <w:pPr>
        <w:pStyle w:val="1"/>
        <w:numPr>
          <w:ilvl w:val="0"/>
          <w:numId w:val="0"/>
        </w:numPr>
        <w:tabs>
          <w:tab w:val="left" w:pos="432"/>
        </w:tabs>
        <w:spacing w:beforeLines="50" w:before="156" w:afterLines="50" w:after="156" w:line="240" w:lineRule="exact"/>
        <w:rPr>
          <w:sz w:val="24"/>
          <w:szCs w:val="24"/>
        </w:rPr>
      </w:pPr>
      <w:r>
        <w:rPr>
          <w:sz w:val="24"/>
          <w:szCs w:val="24"/>
        </w:rPr>
        <w:t>……</w:t>
      </w:r>
    </w:p>
    <w:p w:rsidR="00B61B0C" w:rsidRDefault="00B92C07">
      <w:pPr>
        <w:pStyle w:val="1"/>
        <w:numPr>
          <w:ilvl w:val="0"/>
          <w:numId w:val="0"/>
        </w:numPr>
        <w:tabs>
          <w:tab w:val="left" w:pos="432"/>
        </w:tabs>
        <w:spacing w:beforeLines="50" w:before="156" w:afterLines="50" w:after="156" w:line="240" w:lineRule="exact"/>
        <w:rPr>
          <w:sz w:val="21"/>
          <w:szCs w:val="21"/>
        </w:rPr>
      </w:pPr>
      <w:r>
        <w:rPr>
          <w:rFonts w:hint="eastAsia"/>
          <w:sz w:val="21"/>
          <w:szCs w:val="21"/>
        </w:rPr>
        <w:t xml:space="preserve">4 </w:t>
      </w:r>
      <w:r>
        <w:rPr>
          <w:rFonts w:hint="eastAsia"/>
          <w:sz w:val="21"/>
          <w:szCs w:val="21"/>
        </w:rPr>
        <w:t>结论</w:t>
      </w:r>
    </w:p>
    <w:p w:rsidR="00B61B0C" w:rsidRDefault="00B92C07">
      <w:pPr>
        <w:spacing w:line="240" w:lineRule="exact"/>
        <w:ind w:firstLineChars="200" w:firstLine="420"/>
        <w:jc w:val="left"/>
      </w:pPr>
      <w:r>
        <w:rPr>
          <w:rFonts w:hint="eastAsia"/>
        </w:rPr>
        <w:t>微通道中极高的传热和传质特性以及稳定的反</w:t>
      </w:r>
      <w:r>
        <w:t>料的快速混合</w:t>
      </w:r>
      <w:r>
        <w:rPr>
          <w:rFonts w:hint="eastAsia"/>
        </w:rPr>
        <w:t>；混合后的溶液进入高温加热的毛细管，由于前驱体溶液从室温加热到高温时间非常短，从而达到瞬间形核的目的；溶液流出加热区域后迅速降至室温，使反应淬灭，生长过程中断，从而控制成核的大小。取样，并对样品进行表征。反应停留时间可通过注射泵控制。二股流体</w:t>
      </w:r>
      <w:r>
        <w:t>在三通中汇合后进入混合腔，磁力搅拌产料的快速混合</w:t>
      </w:r>
      <w:r>
        <w:rPr>
          <w:rFonts w:hint="eastAsia"/>
        </w:rPr>
        <w:t>；混合后的溶液进入高温加热的毛细管，由于前驱体溶液从室温加热到高温时间非常短，从而达到瞬间形核的目的；溶液流出加热区域后迅速降至室温，使反应等由于前驱体溶液从室温加热到高温时间非常短，</w:t>
      </w:r>
    </w:p>
    <w:p w:rsidR="00B61B0C" w:rsidRDefault="00B61B0C">
      <w:pPr>
        <w:spacing w:line="240" w:lineRule="exact"/>
        <w:ind w:firstLineChars="200" w:firstLine="420"/>
        <w:jc w:val="left"/>
      </w:pPr>
    </w:p>
    <w:p w:rsidR="00B61B0C" w:rsidRDefault="00B92C07">
      <w:pPr>
        <w:spacing w:line="240" w:lineRule="exact"/>
        <w:ind w:firstLineChars="200" w:firstLine="422"/>
        <w:jc w:val="left"/>
        <w:rPr>
          <w:b/>
          <w:color w:val="0000FF"/>
          <w:szCs w:val="21"/>
        </w:rPr>
      </w:pPr>
      <w:r>
        <w:rPr>
          <w:rFonts w:hint="eastAsia"/>
          <w:b/>
          <w:color w:val="0000FF"/>
          <w:szCs w:val="21"/>
        </w:rPr>
        <w:t>（末页要左右齐平）</w:t>
      </w:r>
    </w:p>
    <w:p w:rsidR="00B61B0C" w:rsidRDefault="00B61B0C">
      <w:pPr>
        <w:spacing w:line="240" w:lineRule="exact"/>
        <w:ind w:firstLineChars="200" w:firstLine="420"/>
        <w:jc w:val="left"/>
      </w:pPr>
    </w:p>
    <w:p w:rsidR="00B61B0C" w:rsidRDefault="00B92C07">
      <w:pPr>
        <w:spacing w:line="240" w:lineRule="exact"/>
        <w:ind w:firstLineChars="200" w:firstLine="420"/>
        <w:jc w:val="left"/>
        <w:rPr>
          <w:b/>
          <w:color w:val="0000FF"/>
          <w:szCs w:val="21"/>
        </w:rPr>
      </w:pPr>
      <w:r>
        <w:rPr>
          <w:rFonts w:hint="eastAsia"/>
        </w:rPr>
        <w:t xml:space="preserve"> </w:t>
      </w:r>
    </w:p>
    <w:p w:rsidR="00B61B0C" w:rsidRDefault="00B92C07">
      <w:pPr>
        <w:spacing w:line="240" w:lineRule="exact"/>
        <w:rPr>
          <w:rFonts w:hAnsi="宋体"/>
          <w:b/>
          <w:bCs/>
          <w:szCs w:val="21"/>
        </w:rPr>
      </w:pPr>
      <w:r>
        <w:rPr>
          <w:rFonts w:hint="eastAsia"/>
        </w:rPr>
        <w:t xml:space="preserve">    </w:t>
      </w:r>
      <w:r>
        <w:rPr>
          <w:rFonts w:hAnsi="宋体" w:hint="eastAsia"/>
          <w:bCs/>
          <w:szCs w:val="21"/>
        </w:rPr>
        <w:t>表</w:t>
      </w:r>
      <w:r>
        <w:rPr>
          <w:bCs/>
          <w:szCs w:val="21"/>
        </w:rPr>
        <w:t>1</w:t>
      </w:r>
      <w:r>
        <w:rPr>
          <w:rFonts w:hint="eastAsia"/>
          <w:bCs/>
          <w:szCs w:val="21"/>
        </w:rPr>
        <w:t xml:space="preserve">  P3HT/PbSe</w:t>
      </w:r>
      <w:r>
        <w:rPr>
          <w:rFonts w:hAnsi="宋体" w:hint="eastAsia"/>
          <w:bCs/>
          <w:szCs w:val="21"/>
        </w:rPr>
        <w:t>太阳能电池</w:t>
      </w:r>
      <w:r>
        <w:rPr>
          <w:rFonts w:hint="eastAsia"/>
          <w:bCs/>
          <w:szCs w:val="21"/>
        </w:rPr>
        <w:t>JV</w:t>
      </w:r>
      <w:r>
        <w:rPr>
          <w:rFonts w:hAnsi="宋体" w:hint="eastAsia"/>
          <w:bCs/>
          <w:szCs w:val="21"/>
        </w:rPr>
        <w:t>特性表</w:t>
      </w:r>
    </w:p>
    <w:p w:rsidR="00B61B0C" w:rsidRDefault="00B92C07">
      <w:pPr>
        <w:pStyle w:val="FigEHeading"/>
        <w:numPr>
          <w:ilvl w:val="0"/>
          <w:numId w:val="0"/>
        </w:numPr>
        <w:tabs>
          <w:tab w:val="left" w:pos="720"/>
        </w:tabs>
        <w:spacing w:line="240" w:lineRule="exact"/>
        <w:rPr>
          <w:b w:val="0"/>
          <w:bCs w:val="0"/>
          <w:sz w:val="21"/>
          <w:szCs w:val="21"/>
        </w:rPr>
      </w:pPr>
      <w:r>
        <w:rPr>
          <w:rFonts w:hint="eastAsia"/>
          <w:b w:val="0"/>
          <w:bCs w:val="0"/>
          <w:sz w:val="21"/>
          <w:szCs w:val="21"/>
        </w:rPr>
        <w:lastRenderedPageBreak/>
        <w:t>Table 1 JV characteristics of P3HT/PbSe solar cells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400"/>
        <w:gridCol w:w="1012"/>
        <w:gridCol w:w="1106"/>
        <w:gridCol w:w="531"/>
        <w:gridCol w:w="816"/>
      </w:tblGrid>
      <w:tr w:rsidR="00B61B0C">
        <w:trPr>
          <w:trHeight w:val="307"/>
          <w:jc w:val="center"/>
        </w:trPr>
        <w:tc>
          <w:tcPr>
            <w:tcW w:w="1400" w:type="dxa"/>
            <w:tcBorders>
              <w:top w:val="single" w:sz="4" w:space="0" w:color="auto"/>
              <w:bottom w:val="single" w:sz="4" w:space="0" w:color="auto"/>
            </w:tcBorders>
          </w:tcPr>
          <w:p w:rsidR="00B61B0C" w:rsidRDefault="00B92C07">
            <w:pPr>
              <w:jc w:val="center"/>
              <w:rPr>
                <w:sz w:val="18"/>
                <w:szCs w:val="21"/>
              </w:rPr>
            </w:pPr>
            <w:r>
              <w:rPr>
                <w:sz w:val="18"/>
                <w:szCs w:val="21"/>
              </w:rPr>
              <w:t>S</w:t>
            </w:r>
            <w:r>
              <w:rPr>
                <w:rFonts w:hint="eastAsia"/>
                <w:sz w:val="18"/>
                <w:szCs w:val="21"/>
              </w:rPr>
              <w:t>pin speed (rpm)</w:t>
            </w:r>
          </w:p>
        </w:tc>
        <w:tc>
          <w:tcPr>
            <w:tcW w:w="1012" w:type="dxa"/>
            <w:tcBorders>
              <w:top w:val="single" w:sz="4" w:space="0" w:color="auto"/>
              <w:bottom w:val="single" w:sz="4" w:space="0" w:color="auto"/>
            </w:tcBorders>
          </w:tcPr>
          <w:p w:rsidR="00B61B0C" w:rsidRDefault="00B92C07">
            <w:pPr>
              <w:jc w:val="center"/>
              <w:rPr>
                <w:sz w:val="18"/>
                <w:szCs w:val="21"/>
              </w:rPr>
            </w:pPr>
            <w:r>
              <w:rPr>
                <w:rFonts w:hint="eastAsia"/>
                <w:sz w:val="18"/>
                <w:szCs w:val="21"/>
              </w:rPr>
              <w:t>V</w:t>
            </w:r>
            <w:r>
              <w:rPr>
                <w:rFonts w:hint="eastAsia"/>
                <w:sz w:val="18"/>
                <w:szCs w:val="21"/>
                <w:vertAlign w:val="subscript"/>
              </w:rPr>
              <w:t>oc</w:t>
            </w:r>
            <w:r>
              <w:rPr>
                <w:rFonts w:hint="eastAsia"/>
                <w:sz w:val="18"/>
                <w:szCs w:val="21"/>
              </w:rPr>
              <w:t>(V)</w:t>
            </w:r>
          </w:p>
        </w:tc>
        <w:tc>
          <w:tcPr>
            <w:tcW w:w="1106" w:type="dxa"/>
            <w:tcBorders>
              <w:top w:val="single" w:sz="4" w:space="0" w:color="auto"/>
              <w:bottom w:val="single" w:sz="4" w:space="0" w:color="auto"/>
            </w:tcBorders>
          </w:tcPr>
          <w:p w:rsidR="00B61B0C" w:rsidRDefault="00B92C07">
            <w:pPr>
              <w:jc w:val="center"/>
              <w:rPr>
                <w:sz w:val="18"/>
                <w:szCs w:val="21"/>
              </w:rPr>
            </w:pPr>
            <w:r>
              <w:rPr>
                <w:rFonts w:hint="eastAsia"/>
                <w:sz w:val="18"/>
                <w:szCs w:val="21"/>
              </w:rPr>
              <w:t>J</w:t>
            </w:r>
            <w:r>
              <w:rPr>
                <w:rFonts w:hint="eastAsia"/>
                <w:sz w:val="18"/>
                <w:szCs w:val="21"/>
                <w:vertAlign w:val="subscript"/>
              </w:rPr>
              <w:t>sc</w:t>
            </w:r>
            <w:r>
              <w:rPr>
                <w:rFonts w:hint="eastAsia"/>
                <w:sz w:val="18"/>
                <w:szCs w:val="21"/>
              </w:rPr>
              <w:t>(mA/cm</w:t>
            </w:r>
            <w:r>
              <w:rPr>
                <w:rFonts w:hint="eastAsia"/>
                <w:sz w:val="18"/>
                <w:szCs w:val="21"/>
                <w:vertAlign w:val="superscript"/>
              </w:rPr>
              <w:t>2</w:t>
            </w:r>
            <w:r>
              <w:rPr>
                <w:rFonts w:hint="eastAsia"/>
                <w:sz w:val="18"/>
                <w:szCs w:val="21"/>
              </w:rPr>
              <w:t>)</w:t>
            </w:r>
          </w:p>
        </w:tc>
        <w:tc>
          <w:tcPr>
            <w:tcW w:w="531" w:type="dxa"/>
            <w:tcBorders>
              <w:top w:val="single" w:sz="4" w:space="0" w:color="auto"/>
              <w:bottom w:val="single" w:sz="4" w:space="0" w:color="auto"/>
            </w:tcBorders>
          </w:tcPr>
          <w:p w:rsidR="00B61B0C" w:rsidRDefault="00B92C07">
            <w:pPr>
              <w:jc w:val="center"/>
              <w:rPr>
                <w:sz w:val="18"/>
                <w:szCs w:val="21"/>
              </w:rPr>
            </w:pPr>
            <w:r>
              <w:rPr>
                <w:rFonts w:hint="eastAsia"/>
                <w:sz w:val="18"/>
                <w:szCs w:val="21"/>
              </w:rPr>
              <w:t>FF</w:t>
            </w:r>
          </w:p>
        </w:tc>
        <w:tc>
          <w:tcPr>
            <w:tcW w:w="816" w:type="dxa"/>
            <w:tcBorders>
              <w:top w:val="single" w:sz="4" w:space="0" w:color="auto"/>
              <w:bottom w:val="single" w:sz="4" w:space="0" w:color="auto"/>
            </w:tcBorders>
          </w:tcPr>
          <w:p w:rsidR="00B61B0C" w:rsidRDefault="00B92C07">
            <w:pPr>
              <w:jc w:val="center"/>
              <w:rPr>
                <w:sz w:val="18"/>
                <w:szCs w:val="21"/>
              </w:rPr>
            </w:pPr>
            <w:r>
              <w:rPr>
                <w:rFonts w:hint="eastAsia"/>
                <w:sz w:val="18"/>
                <w:szCs w:val="21"/>
              </w:rPr>
              <w:t>PCE(%)</w:t>
            </w:r>
          </w:p>
        </w:tc>
      </w:tr>
      <w:tr w:rsidR="00B61B0C">
        <w:trPr>
          <w:trHeight w:val="307"/>
          <w:jc w:val="center"/>
        </w:trPr>
        <w:tc>
          <w:tcPr>
            <w:tcW w:w="1400" w:type="dxa"/>
            <w:tcBorders>
              <w:top w:val="single" w:sz="4" w:space="0" w:color="auto"/>
            </w:tcBorders>
          </w:tcPr>
          <w:p w:rsidR="00B61B0C" w:rsidRDefault="00B92C07">
            <w:pPr>
              <w:jc w:val="center"/>
              <w:rPr>
                <w:sz w:val="18"/>
                <w:szCs w:val="21"/>
              </w:rPr>
            </w:pPr>
            <w:r>
              <w:rPr>
                <w:rFonts w:hint="eastAsia"/>
                <w:sz w:val="18"/>
                <w:szCs w:val="21"/>
              </w:rPr>
              <w:t xml:space="preserve">500 </w:t>
            </w:r>
          </w:p>
        </w:tc>
        <w:tc>
          <w:tcPr>
            <w:tcW w:w="1012" w:type="dxa"/>
            <w:tcBorders>
              <w:top w:val="single" w:sz="4" w:space="0" w:color="auto"/>
            </w:tcBorders>
          </w:tcPr>
          <w:p w:rsidR="00B61B0C" w:rsidRDefault="00B92C07">
            <w:pPr>
              <w:jc w:val="center"/>
              <w:rPr>
                <w:sz w:val="18"/>
                <w:szCs w:val="21"/>
              </w:rPr>
            </w:pPr>
            <w:r>
              <w:rPr>
                <w:rFonts w:hint="eastAsia"/>
                <w:sz w:val="18"/>
                <w:szCs w:val="21"/>
              </w:rPr>
              <w:t>0.18</w:t>
            </w:r>
          </w:p>
        </w:tc>
        <w:tc>
          <w:tcPr>
            <w:tcW w:w="1106" w:type="dxa"/>
            <w:tcBorders>
              <w:top w:val="single" w:sz="4" w:space="0" w:color="auto"/>
            </w:tcBorders>
          </w:tcPr>
          <w:p w:rsidR="00B61B0C" w:rsidRDefault="00B92C07">
            <w:pPr>
              <w:jc w:val="center"/>
              <w:rPr>
                <w:sz w:val="18"/>
                <w:szCs w:val="21"/>
              </w:rPr>
            </w:pPr>
            <w:r>
              <w:rPr>
                <w:rFonts w:hint="eastAsia"/>
                <w:sz w:val="18"/>
                <w:szCs w:val="21"/>
              </w:rPr>
              <w:t>0.68</w:t>
            </w:r>
          </w:p>
        </w:tc>
        <w:tc>
          <w:tcPr>
            <w:tcW w:w="531" w:type="dxa"/>
            <w:tcBorders>
              <w:top w:val="single" w:sz="4" w:space="0" w:color="auto"/>
            </w:tcBorders>
          </w:tcPr>
          <w:p w:rsidR="00B61B0C" w:rsidRDefault="00B92C07">
            <w:pPr>
              <w:jc w:val="center"/>
              <w:rPr>
                <w:sz w:val="18"/>
                <w:szCs w:val="21"/>
              </w:rPr>
            </w:pPr>
            <w:r>
              <w:rPr>
                <w:rFonts w:hint="eastAsia"/>
                <w:sz w:val="18"/>
                <w:szCs w:val="21"/>
              </w:rPr>
              <w:t>0.28</w:t>
            </w:r>
          </w:p>
        </w:tc>
        <w:tc>
          <w:tcPr>
            <w:tcW w:w="816" w:type="dxa"/>
            <w:tcBorders>
              <w:top w:val="single" w:sz="4" w:space="0" w:color="auto"/>
            </w:tcBorders>
          </w:tcPr>
          <w:p w:rsidR="00B61B0C" w:rsidRDefault="00B92C07">
            <w:pPr>
              <w:jc w:val="center"/>
              <w:rPr>
                <w:sz w:val="18"/>
                <w:szCs w:val="21"/>
              </w:rPr>
            </w:pPr>
            <w:r>
              <w:rPr>
                <w:rFonts w:hint="eastAsia"/>
                <w:sz w:val="18"/>
                <w:szCs w:val="21"/>
              </w:rPr>
              <w:t>0.04</w:t>
            </w:r>
          </w:p>
        </w:tc>
      </w:tr>
      <w:tr w:rsidR="00B61B0C">
        <w:trPr>
          <w:trHeight w:val="307"/>
          <w:jc w:val="center"/>
        </w:trPr>
        <w:tc>
          <w:tcPr>
            <w:tcW w:w="1400" w:type="dxa"/>
          </w:tcPr>
          <w:p w:rsidR="00B61B0C" w:rsidRDefault="00B92C07">
            <w:pPr>
              <w:jc w:val="center"/>
              <w:rPr>
                <w:sz w:val="18"/>
                <w:szCs w:val="21"/>
              </w:rPr>
            </w:pPr>
            <w:r>
              <w:rPr>
                <w:rFonts w:hint="eastAsia"/>
                <w:sz w:val="18"/>
                <w:szCs w:val="21"/>
              </w:rPr>
              <w:t>1000</w:t>
            </w:r>
          </w:p>
        </w:tc>
        <w:tc>
          <w:tcPr>
            <w:tcW w:w="1012" w:type="dxa"/>
          </w:tcPr>
          <w:p w:rsidR="00B61B0C" w:rsidRDefault="00B92C07">
            <w:pPr>
              <w:jc w:val="center"/>
              <w:rPr>
                <w:sz w:val="18"/>
                <w:szCs w:val="21"/>
              </w:rPr>
            </w:pPr>
            <w:r>
              <w:rPr>
                <w:rFonts w:hint="eastAsia"/>
                <w:sz w:val="18"/>
                <w:szCs w:val="21"/>
              </w:rPr>
              <w:t>0.2</w:t>
            </w:r>
          </w:p>
        </w:tc>
        <w:tc>
          <w:tcPr>
            <w:tcW w:w="1106" w:type="dxa"/>
          </w:tcPr>
          <w:p w:rsidR="00B61B0C" w:rsidRDefault="00B92C07">
            <w:pPr>
              <w:jc w:val="center"/>
              <w:rPr>
                <w:sz w:val="18"/>
                <w:szCs w:val="21"/>
              </w:rPr>
            </w:pPr>
            <w:r>
              <w:rPr>
                <w:rFonts w:hint="eastAsia"/>
                <w:sz w:val="18"/>
                <w:szCs w:val="21"/>
              </w:rPr>
              <w:t>1.2</w:t>
            </w:r>
          </w:p>
        </w:tc>
        <w:tc>
          <w:tcPr>
            <w:tcW w:w="531" w:type="dxa"/>
          </w:tcPr>
          <w:p w:rsidR="00B61B0C" w:rsidRDefault="00B92C07">
            <w:pPr>
              <w:jc w:val="center"/>
              <w:rPr>
                <w:sz w:val="18"/>
                <w:szCs w:val="21"/>
              </w:rPr>
            </w:pPr>
            <w:r>
              <w:rPr>
                <w:rFonts w:hint="eastAsia"/>
                <w:sz w:val="18"/>
                <w:szCs w:val="21"/>
              </w:rPr>
              <w:t>0.32</w:t>
            </w:r>
          </w:p>
        </w:tc>
        <w:tc>
          <w:tcPr>
            <w:tcW w:w="816" w:type="dxa"/>
          </w:tcPr>
          <w:p w:rsidR="00B61B0C" w:rsidRDefault="00B92C07">
            <w:pPr>
              <w:jc w:val="center"/>
              <w:rPr>
                <w:sz w:val="18"/>
                <w:szCs w:val="21"/>
              </w:rPr>
            </w:pPr>
            <w:r>
              <w:rPr>
                <w:rFonts w:hint="eastAsia"/>
                <w:sz w:val="18"/>
                <w:szCs w:val="21"/>
              </w:rPr>
              <w:t>0.08</w:t>
            </w:r>
          </w:p>
        </w:tc>
      </w:tr>
      <w:tr w:rsidR="00B61B0C">
        <w:trPr>
          <w:trHeight w:val="307"/>
          <w:jc w:val="center"/>
        </w:trPr>
        <w:tc>
          <w:tcPr>
            <w:tcW w:w="1400" w:type="dxa"/>
          </w:tcPr>
          <w:p w:rsidR="00B61B0C" w:rsidRDefault="00B92C07">
            <w:pPr>
              <w:jc w:val="center"/>
              <w:rPr>
                <w:sz w:val="18"/>
                <w:szCs w:val="21"/>
              </w:rPr>
            </w:pPr>
            <w:r>
              <w:rPr>
                <w:rFonts w:hint="eastAsia"/>
                <w:sz w:val="18"/>
                <w:szCs w:val="21"/>
              </w:rPr>
              <w:t>2000</w:t>
            </w:r>
          </w:p>
        </w:tc>
        <w:tc>
          <w:tcPr>
            <w:tcW w:w="1012" w:type="dxa"/>
          </w:tcPr>
          <w:p w:rsidR="00B61B0C" w:rsidRDefault="00B92C07">
            <w:pPr>
              <w:jc w:val="center"/>
              <w:rPr>
                <w:sz w:val="18"/>
                <w:szCs w:val="21"/>
              </w:rPr>
            </w:pPr>
            <w:r>
              <w:rPr>
                <w:rFonts w:hint="eastAsia"/>
                <w:sz w:val="18"/>
                <w:szCs w:val="21"/>
              </w:rPr>
              <w:t>0.36</w:t>
            </w:r>
          </w:p>
        </w:tc>
        <w:tc>
          <w:tcPr>
            <w:tcW w:w="1106" w:type="dxa"/>
          </w:tcPr>
          <w:p w:rsidR="00B61B0C" w:rsidRDefault="00B92C07">
            <w:pPr>
              <w:jc w:val="center"/>
              <w:rPr>
                <w:sz w:val="18"/>
                <w:szCs w:val="21"/>
              </w:rPr>
            </w:pPr>
            <w:r>
              <w:rPr>
                <w:rFonts w:hint="eastAsia"/>
                <w:sz w:val="18"/>
                <w:szCs w:val="21"/>
              </w:rPr>
              <w:t>1.3</w:t>
            </w:r>
          </w:p>
        </w:tc>
        <w:tc>
          <w:tcPr>
            <w:tcW w:w="531" w:type="dxa"/>
          </w:tcPr>
          <w:p w:rsidR="00B61B0C" w:rsidRDefault="00B92C07">
            <w:pPr>
              <w:jc w:val="center"/>
              <w:rPr>
                <w:sz w:val="18"/>
                <w:szCs w:val="21"/>
              </w:rPr>
            </w:pPr>
            <w:r>
              <w:rPr>
                <w:rFonts w:hint="eastAsia"/>
                <w:sz w:val="18"/>
                <w:szCs w:val="21"/>
              </w:rPr>
              <w:t>0.41</w:t>
            </w:r>
          </w:p>
        </w:tc>
        <w:tc>
          <w:tcPr>
            <w:tcW w:w="816" w:type="dxa"/>
          </w:tcPr>
          <w:p w:rsidR="00B61B0C" w:rsidRDefault="00B92C07">
            <w:pPr>
              <w:jc w:val="center"/>
              <w:rPr>
                <w:sz w:val="18"/>
                <w:szCs w:val="21"/>
              </w:rPr>
            </w:pPr>
            <w:r>
              <w:rPr>
                <w:rFonts w:hint="eastAsia"/>
                <w:sz w:val="18"/>
                <w:szCs w:val="21"/>
              </w:rPr>
              <w:t>0.19</w:t>
            </w:r>
          </w:p>
        </w:tc>
      </w:tr>
      <w:tr w:rsidR="00B61B0C">
        <w:trPr>
          <w:trHeight w:val="307"/>
          <w:jc w:val="center"/>
        </w:trPr>
        <w:tc>
          <w:tcPr>
            <w:tcW w:w="1400" w:type="dxa"/>
          </w:tcPr>
          <w:p w:rsidR="00B61B0C" w:rsidRDefault="00B92C07">
            <w:pPr>
              <w:jc w:val="center"/>
              <w:rPr>
                <w:sz w:val="18"/>
                <w:szCs w:val="21"/>
              </w:rPr>
            </w:pPr>
            <w:r>
              <w:rPr>
                <w:rFonts w:hint="eastAsia"/>
                <w:sz w:val="18"/>
                <w:szCs w:val="21"/>
              </w:rPr>
              <w:t>4000</w:t>
            </w:r>
          </w:p>
        </w:tc>
        <w:tc>
          <w:tcPr>
            <w:tcW w:w="1012" w:type="dxa"/>
          </w:tcPr>
          <w:p w:rsidR="00B61B0C" w:rsidRDefault="00B92C07">
            <w:pPr>
              <w:jc w:val="center"/>
              <w:rPr>
                <w:sz w:val="18"/>
                <w:szCs w:val="21"/>
              </w:rPr>
            </w:pPr>
            <w:r>
              <w:rPr>
                <w:rFonts w:hint="eastAsia"/>
                <w:sz w:val="18"/>
                <w:szCs w:val="21"/>
              </w:rPr>
              <w:t>0.18</w:t>
            </w:r>
          </w:p>
        </w:tc>
        <w:tc>
          <w:tcPr>
            <w:tcW w:w="1106" w:type="dxa"/>
          </w:tcPr>
          <w:p w:rsidR="00B61B0C" w:rsidRDefault="00B92C07">
            <w:pPr>
              <w:jc w:val="center"/>
              <w:rPr>
                <w:sz w:val="18"/>
                <w:szCs w:val="21"/>
              </w:rPr>
            </w:pPr>
            <w:r>
              <w:rPr>
                <w:rFonts w:hint="eastAsia"/>
                <w:sz w:val="18"/>
                <w:szCs w:val="21"/>
              </w:rPr>
              <w:t>0.5</w:t>
            </w:r>
          </w:p>
        </w:tc>
        <w:tc>
          <w:tcPr>
            <w:tcW w:w="531" w:type="dxa"/>
          </w:tcPr>
          <w:p w:rsidR="00B61B0C" w:rsidRDefault="00B92C07">
            <w:pPr>
              <w:jc w:val="center"/>
              <w:rPr>
                <w:sz w:val="18"/>
                <w:szCs w:val="21"/>
              </w:rPr>
            </w:pPr>
            <w:r>
              <w:rPr>
                <w:rFonts w:hint="eastAsia"/>
                <w:sz w:val="18"/>
                <w:szCs w:val="21"/>
              </w:rPr>
              <w:t>0.4</w:t>
            </w:r>
          </w:p>
        </w:tc>
        <w:tc>
          <w:tcPr>
            <w:tcW w:w="816" w:type="dxa"/>
          </w:tcPr>
          <w:p w:rsidR="00B61B0C" w:rsidRDefault="00B92C07">
            <w:pPr>
              <w:jc w:val="center"/>
              <w:rPr>
                <w:sz w:val="18"/>
                <w:szCs w:val="21"/>
              </w:rPr>
            </w:pPr>
            <w:r>
              <w:rPr>
                <w:rFonts w:hint="eastAsia"/>
                <w:sz w:val="18"/>
                <w:szCs w:val="21"/>
              </w:rPr>
              <w:t>0.04</w:t>
            </w:r>
          </w:p>
        </w:tc>
      </w:tr>
    </w:tbl>
    <w:p w:rsidR="00B61B0C" w:rsidRDefault="00B92C07">
      <w:pPr>
        <w:spacing w:line="240" w:lineRule="exact"/>
        <w:ind w:firstLineChars="200" w:firstLine="422"/>
        <w:jc w:val="left"/>
        <w:rPr>
          <w:b/>
          <w:color w:val="0000FF"/>
          <w:szCs w:val="21"/>
        </w:rPr>
      </w:pPr>
      <w:r>
        <w:rPr>
          <w:rFonts w:hint="eastAsia"/>
          <w:b/>
          <w:color w:val="0000FF"/>
          <w:szCs w:val="21"/>
        </w:rPr>
        <w:t>（图表要求为三线格形式，要放在每页的最上或最下）</w:t>
      </w:r>
    </w:p>
    <w:p w:rsidR="00B61B0C" w:rsidRDefault="00B92C07">
      <w:pPr>
        <w:tabs>
          <w:tab w:val="center" w:pos="2000"/>
          <w:tab w:val="right" w:pos="4120"/>
        </w:tabs>
        <w:jc w:val="right"/>
        <w:rPr>
          <w:rFonts w:cs="Calibri"/>
          <w:sz w:val="24"/>
        </w:rPr>
      </w:pPr>
      <w:r>
        <w:rPr>
          <w:rFonts w:cs="Calibri"/>
          <w:sz w:val="24"/>
        </w:rPr>
        <w:object w:dxaOrig="3485"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25.8pt;mso-wrap-style:square;mso-position-horizontal-relative:page;mso-position-vertical-relative:page" o:ole="">
            <v:imagedata r:id="rId10" o:title=""/>
          </v:shape>
          <o:OLEObject Type="Embed" ProgID="Equation.DSMT4" ShapeID="_x0000_i1025" DrawAspect="Content" ObjectID="_1508673785" r:id="rId11"/>
        </w:object>
      </w:r>
      <w:r>
        <w:rPr>
          <w:rFonts w:cs="Calibri" w:hint="eastAsia"/>
          <w:sz w:val="24"/>
        </w:rPr>
        <w:t xml:space="preserve">      (3)</w:t>
      </w:r>
    </w:p>
    <w:p w:rsidR="00B61B0C" w:rsidRDefault="00B92C07">
      <w:pPr>
        <w:tabs>
          <w:tab w:val="center" w:pos="2000"/>
          <w:tab w:val="right" w:pos="4120"/>
        </w:tabs>
        <w:ind w:right="480"/>
        <w:jc w:val="center"/>
        <w:rPr>
          <w:b/>
          <w:color w:val="0000FF"/>
          <w:szCs w:val="21"/>
        </w:rPr>
      </w:pPr>
      <w:r>
        <w:rPr>
          <w:rFonts w:hint="eastAsia"/>
          <w:b/>
          <w:color w:val="0000FF"/>
          <w:szCs w:val="21"/>
        </w:rPr>
        <w:t>（公式要居中，编号要居右）</w:t>
      </w:r>
    </w:p>
    <w:p w:rsidR="00B61B0C" w:rsidRDefault="00B92C07">
      <w:pPr>
        <w:spacing w:beforeLines="50" w:before="156" w:afterLines="50" w:after="156" w:line="240" w:lineRule="exact"/>
        <w:ind w:firstLineChars="200" w:firstLine="420"/>
      </w:pPr>
      <w:r>
        <w:rPr>
          <w:rFonts w:hint="eastAsia"/>
        </w:rPr>
        <w:t>反应条件为量子点的合成提供了有力的环境，在此基础上，搭建了用于</w:t>
      </w:r>
      <w:r>
        <w:rPr>
          <w:rFonts w:hint="eastAsia"/>
        </w:rPr>
        <w:t>CdSeS</w:t>
      </w:r>
      <w:r>
        <w:rPr>
          <w:rFonts w:hint="eastAsia"/>
        </w:rPr>
        <w:t>三元合金量子合成的毛细管微反应装置。通过实验证明了合金量子点可以通过改变组分实现对荧光性能的调控，而与尺寸无关。通过反复实验，改变原料配比、反应温度和停留时间，优化参数，获得了荧光性能最佳的</w:t>
      </w:r>
      <w:r>
        <w:rPr>
          <w:rFonts w:hint="eastAsia"/>
        </w:rPr>
        <w:t>CdSeS</w:t>
      </w:r>
      <w:r>
        <w:rPr>
          <w:rFonts w:hint="eastAsia"/>
        </w:rPr>
        <w:t>三元合金量子点。为了减少产品的生物毒性和提高荧光量子产率，对得到的</w:t>
      </w:r>
      <w:r>
        <w:rPr>
          <w:rFonts w:hint="eastAsia"/>
        </w:rPr>
        <w:t>CdSeS</w:t>
      </w:r>
      <w:r>
        <w:rPr>
          <w:rFonts w:hint="eastAsia"/>
        </w:rPr>
        <w:t>量子点进行了无机包裹实验，优化反应参数，基本掌握了其反应动力学数据，为三元合金量子点的大规模合成提供了可靠的实验数据。</w:t>
      </w:r>
    </w:p>
    <w:p w:rsidR="00B61B0C" w:rsidRDefault="00B92C07">
      <w:pPr>
        <w:pStyle w:val="1"/>
        <w:numPr>
          <w:ilvl w:val="0"/>
          <w:numId w:val="0"/>
        </w:numPr>
        <w:tabs>
          <w:tab w:val="left" w:pos="432"/>
        </w:tabs>
        <w:spacing w:beforeLines="50" w:before="156" w:afterLines="50" w:after="156" w:line="240" w:lineRule="exact"/>
        <w:rPr>
          <w:sz w:val="21"/>
          <w:szCs w:val="21"/>
        </w:rPr>
      </w:pPr>
      <w:r>
        <w:rPr>
          <w:rFonts w:hint="eastAsia"/>
          <w:sz w:val="21"/>
          <w:szCs w:val="21"/>
        </w:rPr>
        <w:t>参考文献</w:t>
      </w:r>
    </w:p>
    <w:p w:rsidR="00B61B0C" w:rsidRDefault="00B92C07">
      <w:pPr>
        <w:spacing w:line="240" w:lineRule="exact"/>
        <w:ind w:leftChars="18" w:left="540" w:hangingChars="239" w:hanging="502"/>
        <w:rPr>
          <w:szCs w:val="21"/>
        </w:rPr>
      </w:pPr>
      <w:r>
        <w:rPr>
          <w:szCs w:val="21"/>
        </w:rPr>
        <w:t xml:space="preserve">[1] A. Henglein, Small-Particle Research: Physicochemical Properties of Extremely Small Colloidal Metal and Semiconductor Particles. </w:t>
      </w:r>
      <w:r>
        <w:rPr>
          <w:iCs/>
          <w:szCs w:val="21"/>
        </w:rPr>
        <w:t>Chemical Reviews</w:t>
      </w:r>
      <w:r>
        <w:rPr>
          <w:rFonts w:hint="eastAsia"/>
          <w:szCs w:val="21"/>
        </w:rPr>
        <w:t>,</w:t>
      </w:r>
      <w:r>
        <w:rPr>
          <w:szCs w:val="21"/>
        </w:rPr>
        <w:t xml:space="preserve"> 1989</w:t>
      </w:r>
      <w:r>
        <w:rPr>
          <w:rFonts w:hint="eastAsia"/>
          <w:szCs w:val="21"/>
        </w:rPr>
        <w:t>,</w:t>
      </w:r>
      <w:r>
        <w:rPr>
          <w:szCs w:val="21"/>
        </w:rPr>
        <w:t xml:space="preserve"> 89</w:t>
      </w:r>
      <w:r>
        <w:rPr>
          <w:rFonts w:hint="eastAsia"/>
          <w:szCs w:val="21"/>
        </w:rPr>
        <w:t>:</w:t>
      </w:r>
      <w:r>
        <w:rPr>
          <w:szCs w:val="21"/>
        </w:rPr>
        <w:t xml:space="preserve"> 1861-1873.</w:t>
      </w:r>
    </w:p>
    <w:p w:rsidR="00B61B0C" w:rsidRDefault="00B92C07">
      <w:pPr>
        <w:spacing w:line="240" w:lineRule="exact"/>
        <w:ind w:leftChars="18" w:left="540" w:hangingChars="239" w:hanging="502"/>
        <w:rPr>
          <w:szCs w:val="21"/>
        </w:rPr>
      </w:pPr>
      <w:r>
        <w:rPr>
          <w:szCs w:val="21"/>
        </w:rPr>
        <w:t>[2] M.</w:t>
      </w:r>
      <w:r>
        <w:rPr>
          <w:rFonts w:hint="eastAsia"/>
          <w:szCs w:val="21"/>
        </w:rPr>
        <w:t xml:space="preserve"> </w:t>
      </w:r>
      <w:r>
        <w:rPr>
          <w:szCs w:val="21"/>
        </w:rPr>
        <w:t>G. Bawendi,</w:t>
      </w:r>
      <w:r>
        <w:rPr>
          <w:rFonts w:hint="eastAsia"/>
          <w:szCs w:val="21"/>
        </w:rPr>
        <w:t xml:space="preserve"> </w:t>
      </w:r>
      <w:r>
        <w:rPr>
          <w:szCs w:val="21"/>
        </w:rPr>
        <w:t>M.</w:t>
      </w:r>
      <w:r>
        <w:rPr>
          <w:rFonts w:hint="eastAsia"/>
          <w:szCs w:val="21"/>
        </w:rPr>
        <w:t xml:space="preserve"> </w:t>
      </w:r>
      <w:r>
        <w:rPr>
          <w:szCs w:val="21"/>
        </w:rPr>
        <w:t>L. Brus,</w:t>
      </w:r>
      <w:r>
        <w:rPr>
          <w:rFonts w:hint="eastAsia"/>
          <w:szCs w:val="21"/>
        </w:rPr>
        <w:t xml:space="preserve"> </w:t>
      </w:r>
      <w:r>
        <w:rPr>
          <w:szCs w:val="21"/>
        </w:rPr>
        <w:t>The Quantum-Mechanics of Larger Semiconductor Clusters (Quantum Dots)</w:t>
      </w:r>
      <w:r>
        <w:rPr>
          <w:rFonts w:hint="eastAsia"/>
          <w:szCs w:val="21"/>
        </w:rPr>
        <w:t>.</w:t>
      </w:r>
      <w:r>
        <w:rPr>
          <w:szCs w:val="21"/>
        </w:rPr>
        <w:t xml:space="preserve"> </w:t>
      </w:r>
      <w:r>
        <w:rPr>
          <w:iCs/>
          <w:szCs w:val="21"/>
        </w:rPr>
        <w:t>Annual Review of Physical Chemistry</w:t>
      </w:r>
      <w:r>
        <w:rPr>
          <w:rFonts w:hint="eastAsia"/>
          <w:szCs w:val="21"/>
        </w:rPr>
        <w:t>,</w:t>
      </w:r>
      <w:r>
        <w:rPr>
          <w:szCs w:val="21"/>
        </w:rPr>
        <w:t xml:space="preserve"> 1990</w:t>
      </w:r>
      <w:r>
        <w:rPr>
          <w:rFonts w:hint="eastAsia"/>
          <w:szCs w:val="21"/>
        </w:rPr>
        <w:t>,</w:t>
      </w:r>
      <w:r>
        <w:rPr>
          <w:szCs w:val="21"/>
        </w:rPr>
        <w:t xml:space="preserve"> 41: 477-496.</w:t>
      </w:r>
    </w:p>
    <w:p w:rsidR="00B61B0C" w:rsidRDefault="00B92C07">
      <w:pPr>
        <w:spacing w:line="240" w:lineRule="exact"/>
        <w:ind w:leftChars="171" w:left="359"/>
        <w:rPr>
          <w:b/>
          <w:color w:val="0000FF"/>
          <w:szCs w:val="21"/>
        </w:rPr>
      </w:pPr>
      <w:r>
        <w:rPr>
          <w:rFonts w:hint="eastAsia"/>
          <w:b/>
          <w:color w:val="0000FF"/>
          <w:szCs w:val="21"/>
        </w:rPr>
        <w:t>（五号，不要交叉引用，具体格式参照华东理</w:t>
      </w:r>
    </w:p>
    <w:p w:rsidR="00B61B0C" w:rsidRDefault="00B92C07">
      <w:pPr>
        <w:spacing w:line="240" w:lineRule="exact"/>
        <w:ind w:leftChars="171" w:left="359"/>
        <w:rPr>
          <w:b/>
          <w:color w:val="0000FF"/>
          <w:szCs w:val="21"/>
        </w:rPr>
      </w:pPr>
      <w:r>
        <w:rPr>
          <w:rFonts w:hint="eastAsia"/>
          <w:b/>
          <w:color w:val="0000FF"/>
          <w:szCs w:val="21"/>
        </w:rPr>
        <w:t xml:space="preserve"> </w:t>
      </w:r>
      <w:r>
        <w:rPr>
          <w:rFonts w:hint="eastAsia"/>
          <w:b/>
          <w:color w:val="0000FF"/>
          <w:szCs w:val="21"/>
        </w:rPr>
        <w:t>工大学学报，见文后。此外，最好不要使用</w:t>
      </w:r>
    </w:p>
    <w:p w:rsidR="00B61B0C" w:rsidRDefault="00B92C07">
      <w:pPr>
        <w:spacing w:line="240" w:lineRule="exact"/>
        <w:ind w:leftChars="171" w:left="359"/>
        <w:rPr>
          <w:b/>
          <w:color w:val="FF0000"/>
          <w:szCs w:val="21"/>
        </w:rPr>
      </w:pPr>
      <w:r>
        <w:rPr>
          <w:rFonts w:hint="eastAsia"/>
          <w:b/>
          <w:color w:val="0000FF"/>
          <w:szCs w:val="21"/>
        </w:rPr>
        <w:t xml:space="preserve"> Endnote</w:t>
      </w:r>
      <w:r>
        <w:rPr>
          <w:rFonts w:hint="eastAsia"/>
          <w:b/>
          <w:color w:val="0000FF"/>
          <w:szCs w:val="21"/>
        </w:rPr>
        <w:t>等软件插入参考文献。）</w:t>
      </w:r>
    </w:p>
    <w:p w:rsidR="00B61B0C" w:rsidRDefault="009441B5">
      <w:pPr>
        <w:spacing w:beforeLines="100" w:before="312" w:afterLines="50" w:after="156"/>
        <w:rPr>
          <w:rFonts w:ascii="宋体" w:hAnsi="宋体" w:cs="宋体"/>
          <w:kern w:val="0"/>
          <w:sz w:val="24"/>
        </w:rPr>
      </w:pPr>
      <w:r>
        <w:rPr>
          <w:rFonts w:ascii="宋体" w:hAnsi="宋体"/>
          <w:b/>
          <w:noProof/>
          <w:kern w:val="0"/>
          <w:szCs w:val="21"/>
        </w:rPr>
        <w:drawing>
          <wp:anchor distT="0" distB="0" distL="114300" distR="114300" simplePos="0" relativeHeight="251657728" behindDoc="1" locked="0" layoutInCell="1" allowOverlap="1">
            <wp:simplePos x="0" y="0"/>
            <wp:positionH relativeFrom="column">
              <wp:posOffset>2319655</wp:posOffset>
            </wp:positionH>
            <wp:positionV relativeFrom="page">
              <wp:posOffset>7544435</wp:posOffset>
            </wp:positionV>
            <wp:extent cx="828040" cy="1026795"/>
            <wp:effectExtent l="19050" t="19050" r="10160" b="20955"/>
            <wp:wrapSquare wrapText="bothSides"/>
            <wp:docPr id="2" name="图片 2" descr="C:\Documents and Settings\Administrator\Application Data\Tencent\Users\380085925\QQ\WinTemp\RichOle\7@3{3WHWUOCIW5BIL[QV_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Application Data\Tencent\Users\380085925\QQ\WinTemp\RichOle\7@3{3WHWUOCIW5BIL[QV_0D.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28040" cy="1026795"/>
                    </a:xfrm>
                    <a:prstGeom prst="rect">
                      <a:avLst/>
                    </a:prstGeom>
                    <a:noFill/>
                    <a:ln w="12700" cmpd="sng">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sidR="00B92C07">
        <w:rPr>
          <w:rFonts w:ascii="宋体" w:hAnsi="宋体"/>
          <w:b/>
          <w:kern w:val="0"/>
          <w:szCs w:val="21"/>
        </w:rPr>
        <w:t>作者简介：</w:t>
      </w:r>
      <w:r w:rsidR="00B92C07">
        <w:rPr>
          <w:rFonts w:hAnsi="宋体" w:hint="eastAsia"/>
          <w:b/>
          <w:color w:val="0000FF"/>
          <w:kern w:val="0"/>
          <w:szCs w:val="21"/>
        </w:rPr>
        <w:t>（段前</w:t>
      </w:r>
      <w:r w:rsidR="00B92C07">
        <w:rPr>
          <w:rFonts w:hAnsi="宋体" w:hint="eastAsia"/>
          <w:b/>
          <w:color w:val="0000FF"/>
          <w:kern w:val="0"/>
          <w:szCs w:val="21"/>
        </w:rPr>
        <w:t>1</w:t>
      </w:r>
      <w:r w:rsidR="00B92C07">
        <w:rPr>
          <w:rFonts w:hAnsi="宋体" w:hint="eastAsia"/>
          <w:b/>
          <w:color w:val="0000FF"/>
          <w:kern w:val="0"/>
          <w:szCs w:val="21"/>
        </w:rPr>
        <w:t>行段后</w:t>
      </w:r>
      <w:r w:rsidR="00B92C07">
        <w:rPr>
          <w:rFonts w:hAnsi="宋体" w:hint="eastAsia"/>
          <w:b/>
          <w:color w:val="0000FF"/>
          <w:kern w:val="0"/>
          <w:szCs w:val="21"/>
        </w:rPr>
        <w:t>0.5</w:t>
      </w:r>
      <w:r w:rsidR="00B92C07">
        <w:rPr>
          <w:rFonts w:hAnsi="宋体" w:hint="eastAsia"/>
          <w:b/>
          <w:color w:val="0000FF"/>
          <w:kern w:val="0"/>
          <w:szCs w:val="21"/>
        </w:rPr>
        <w:t>行，加粗）</w:t>
      </w:r>
    </w:p>
    <w:p w:rsidR="00B61B0C" w:rsidRDefault="00B92C07">
      <w:pPr>
        <w:spacing w:afterLines="50" w:after="156" w:line="240" w:lineRule="exact"/>
        <w:ind w:leftChars="18" w:left="53" w:hangingChars="7" w:hanging="15"/>
        <w:rPr>
          <w:szCs w:val="21"/>
        </w:rPr>
      </w:pPr>
      <w:r>
        <w:rPr>
          <w:rFonts w:hAnsi="宋体" w:hint="eastAsia"/>
          <w:kern w:val="0"/>
          <w:szCs w:val="21"/>
        </w:rPr>
        <w:t>XX</w:t>
      </w:r>
      <w:r>
        <w:rPr>
          <w:rFonts w:hAnsi="宋体"/>
          <w:kern w:val="0"/>
          <w:szCs w:val="21"/>
        </w:rPr>
        <w:t>：</w:t>
      </w:r>
      <w:r>
        <w:rPr>
          <w:kern w:val="0"/>
          <w:szCs w:val="21"/>
        </w:rPr>
        <w:t>198</w:t>
      </w:r>
      <w:r>
        <w:rPr>
          <w:rFonts w:hAnsi="宋体" w:hint="eastAsia"/>
          <w:kern w:val="0"/>
          <w:szCs w:val="21"/>
        </w:rPr>
        <w:t>6</w:t>
      </w:r>
      <w:r>
        <w:rPr>
          <w:rFonts w:hAnsi="宋体"/>
          <w:kern w:val="0"/>
          <w:szCs w:val="21"/>
        </w:rPr>
        <w:t>年生于</w:t>
      </w:r>
      <w:r>
        <w:rPr>
          <w:rFonts w:hint="eastAsia"/>
          <w:kern w:val="0"/>
          <w:szCs w:val="21"/>
        </w:rPr>
        <w:t>XX</w:t>
      </w:r>
      <w:r>
        <w:rPr>
          <w:rFonts w:hAnsi="宋体"/>
          <w:kern w:val="0"/>
          <w:szCs w:val="21"/>
        </w:rPr>
        <w:t>省</w:t>
      </w:r>
      <w:r>
        <w:rPr>
          <w:rFonts w:hint="eastAsia"/>
          <w:kern w:val="0"/>
          <w:szCs w:val="21"/>
        </w:rPr>
        <w:t>XX</w:t>
      </w:r>
      <w:r>
        <w:rPr>
          <w:rFonts w:hAnsi="宋体"/>
          <w:kern w:val="0"/>
          <w:szCs w:val="21"/>
        </w:rPr>
        <w:t>市，</w:t>
      </w:r>
      <w:r>
        <w:rPr>
          <w:kern w:val="0"/>
          <w:szCs w:val="21"/>
        </w:rPr>
        <w:t xml:space="preserve">  </w:t>
      </w:r>
      <w:r>
        <w:rPr>
          <w:szCs w:val="21"/>
        </w:rPr>
        <w:t>200</w:t>
      </w:r>
      <w:r>
        <w:rPr>
          <w:rFonts w:hint="eastAsia"/>
          <w:szCs w:val="21"/>
        </w:rPr>
        <w:t>6</w:t>
      </w:r>
      <w:r>
        <w:rPr>
          <w:rFonts w:hAnsi="宋体"/>
          <w:szCs w:val="21"/>
        </w:rPr>
        <w:t>年</w:t>
      </w:r>
      <w:r>
        <w:rPr>
          <w:rFonts w:hAnsi="宋体" w:hint="eastAsia"/>
          <w:szCs w:val="21"/>
        </w:rPr>
        <w:t>华东理工大学机械设计制造及其自动化</w:t>
      </w:r>
      <w:r>
        <w:rPr>
          <w:rFonts w:hAnsi="宋体"/>
          <w:szCs w:val="21"/>
        </w:rPr>
        <w:t>专业获得学士学位，</w:t>
      </w:r>
      <w:r>
        <w:rPr>
          <w:szCs w:val="21"/>
        </w:rPr>
        <w:t>200</w:t>
      </w:r>
      <w:r>
        <w:rPr>
          <w:rFonts w:hint="eastAsia"/>
          <w:szCs w:val="21"/>
        </w:rPr>
        <w:t>6</w:t>
      </w:r>
      <w:r>
        <w:rPr>
          <w:rFonts w:hAnsi="宋体"/>
          <w:szCs w:val="21"/>
        </w:rPr>
        <w:t>年始在华东理工大学化工过程机械专业攻读</w:t>
      </w:r>
      <w:r>
        <w:rPr>
          <w:rFonts w:hAnsi="宋体" w:hint="eastAsia"/>
          <w:szCs w:val="21"/>
        </w:rPr>
        <w:t>博</w:t>
      </w:r>
      <w:r>
        <w:rPr>
          <w:rFonts w:hAnsi="宋体"/>
          <w:szCs w:val="21"/>
        </w:rPr>
        <w:t>士学位。</w:t>
      </w:r>
    </w:p>
    <w:p w:rsidR="00B61B0C" w:rsidRDefault="00B92C07">
      <w:pPr>
        <w:spacing w:afterLines="50" w:after="156" w:line="240" w:lineRule="exact"/>
        <w:ind w:leftChars="18" w:left="53" w:hangingChars="7" w:hanging="15"/>
        <w:rPr>
          <w:rFonts w:hAnsi="宋体"/>
          <w:szCs w:val="21"/>
        </w:rPr>
      </w:pPr>
      <w:r>
        <w:rPr>
          <w:szCs w:val="21"/>
        </w:rPr>
        <w:t>Email</w:t>
      </w:r>
      <w:r>
        <w:rPr>
          <w:rFonts w:hAnsi="宋体" w:hint="eastAsia"/>
          <w:szCs w:val="21"/>
        </w:rPr>
        <w:t xml:space="preserve">: </w:t>
      </w:r>
      <w:r>
        <w:rPr>
          <w:rFonts w:hint="eastAsia"/>
          <w:szCs w:val="21"/>
        </w:rPr>
        <w:t>XX</w:t>
      </w:r>
      <w:r>
        <w:rPr>
          <w:szCs w:val="21"/>
        </w:rPr>
        <w:t>@</w:t>
      </w:r>
      <w:r>
        <w:rPr>
          <w:rFonts w:hint="eastAsia"/>
          <w:szCs w:val="21"/>
        </w:rPr>
        <w:t>XX</w:t>
      </w:r>
      <w:r>
        <w:rPr>
          <w:szCs w:val="21"/>
        </w:rPr>
        <w:t>.com</w:t>
      </w:r>
    </w:p>
    <w:p w:rsidR="00B61B0C" w:rsidRDefault="00B92C07">
      <w:pPr>
        <w:spacing w:afterLines="50" w:after="156" w:line="240" w:lineRule="exact"/>
        <w:ind w:leftChars="18" w:left="53" w:hangingChars="7" w:hanging="15"/>
        <w:rPr>
          <w:rFonts w:hAnsi="宋体"/>
          <w:color w:val="0000FF"/>
          <w:szCs w:val="21"/>
        </w:rPr>
      </w:pPr>
      <w:r>
        <w:rPr>
          <w:rFonts w:hAnsi="宋体" w:hint="eastAsia"/>
          <w:color w:val="0000FF"/>
          <w:szCs w:val="21"/>
        </w:rPr>
        <w:t>（作者简介：宋体五号，内容包括出生年月，籍贯，大学以来的简历，</w:t>
      </w:r>
      <w:r>
        <w:rPr>
          <w:rFonts w:hAnsi="宋体" w:hint="eastAsia"/>
          <w:color w:val="0000FF"/>
          <w:szCs w:val="21"/>
        </w:rPr>
        <w:t>Email</w:t>
      </w:r>
      <w:r>
        <w:rPr>
          <w:rFonts w:hAnsi="宋体" w:hint="eastAsia"/>
          <w:color w:val="0000FF"/>
          <w:szCs w:val="21"/>
        </w:rPr>
        <w:t>地址）</w:t>
      </w:r>
    </w:p>
    <w:p w:rsidR="00B61B0C" w:rsidRDefault="00B92C07">
      <w:pPr>
        <w:spacing w:afterLines="50" w:after="156" w:line="240" w:lineRule="exact"/>
        <w:ind w:leftChars="18" w:left="53" w:hangingChars="7" w:hanging="15"/>
        <w:rPr>
          <w:rFonts w:hAnsi="宋体"/>
          <w:color w:val="0000FF"/>
          <w:szCs w:val="21"/>
        </w:rPr>
      </w:pPr>
      <w:r>
        <w:rPr>
          <w:rFonts w:hAnsi="宋体" w:hint="eastAsia"/>
          <w:b/>
          <w:color w:val="0000FF"/>
          <w:szCs w:val="21"/>
        </w:rPr>
        <w:t>照片尺寸</w:t>
      </w:r>
      <w:r>
        <w:rPr>
          <w:rFonts w:hAnsi="宋体" w:hint="eastAsia"/>
          <w:b/>
          <w:color w:val="0000FF"/>
          <w:szCs w:val="21"/>
        </w:rPr>
        <w:t>3cm</w:t>
      </w:r>
      <w:r>
        <w:rPr>
          <w:rFonts w:hAnsi="宋体" w:hint="eastAsia"/>
          <w:b/>
          <w:color w:val="0000FF"/>
          <w:szCs w:val="21"/>
        </w:rPr>
        <w:t>（高）</w:t>
      </w:r>
      <w:r>
        <w:rPr>
          <w:rFonts w:hAnsi="宋体" w:hint="eastAsia"/>
          <w:b/>
          <w:color w:val="0000FF"/>
          <w:szCs w:val="21"/>
        </w:rPr>
        <w:t>X 2.5cm</w:t>
      </w:r>
      <w:r>
        <w:rPr>
          <w:rFonts w:hAnsi="宋体" w:hint="eastAsia"/>
          <w:b/>
          <w:color w:val="0000FF"/>
          <w:szCs w:val="21"/>
        </w:rPr>
        <w:t>（宽）</w:t>
      </w:r>
      <w:r>
        <w:rPr>
          <w:rFonts w:hAnsi="宋体" w:hint="eastAsia"/>
          <w:b/>
          <w:color w:val="FF0000"/>
          <w:szCs w:val="21"/>
        </w:rPr>
        <w:t>注意照片位置！</w:t>
      </w:r>
    </w:p>
    <w:p w:rsidR="00B61B0C" w:rsidRDefault="00B61B0C">
      <w:pPr>
        <w:spacing w:afterLines="50" w:after="156" w:line="240" w:lineRule="exact"/>
        <w:rPr>
          <w:rFonts w:hAnsi="宋体"/>
          <w:color w:val="0000FF"/>
          <w:szCs w:val="21"/>
        </w:rPr>
        <w:sectPr w:rsidR="00B61B0C">
          <w:type w:val="continuous"/>
          <w:pgSz w:w="11906" w:h="16838"/>
          <w:pgMar w:top="1134" w:right="851" w:bottom="1134" w:left="1134" w:header="1134" w:footer="992" w:gutter="0"/>
          <w:pgNumType w:fmt="numberInDash"/>
          <w:cols w:num="2" w:space="425"/>
          <w:docGrid w:type="linesAndChars" w:linePitch="312"/>
        </w:sectPr>
      </w:pPr>
    </w:p>
    <w:p w:rsidR="00B61B0C" w:rsidRDefault="00B92C07">
      <w:pPr>
        <w:spacing w:afterLines="50" w:after="156" w:line="240" w:lineRule="exact"/>
        <w:ind w:leftChars="18" w:left="53" w:hangingChars="7" w:hanging="15"/>
        <w:rPr>
          <w:rFonts w:hAnsi="宋体"/>
          <w:color w:val="0000FF"/>
          <w:szCs w:val="21"/>
          <w:highlight w:val="yellow"/>
        </w:rPr>
      </w:pPr>
      <w:r>
        <w:rPr>
          <w:rFonts w:hAnsi="宋体" w:hint="eastAsia"/>
          <w:color w:val="0000FF"/>
          <w:szCs w:val="21"/>
          <w:highlight w:val="yellow"/>
        </w:rPr>
        <w:lastRenderedPageBreak/>
        <w:t>注：英文全部用</w:t>
      </w:r>
      <w:r>
        <w:rPr>
          <w:rFonts w:hAnsi="宋体" w:hint="eastAsia"/>
          <w:color w:val="0000FF"/>
          <w:szCs w:val="21"/>
          <w:highlight w:val="yellow"/>
        </w:rPr>
        <w:t>Times New Roman</w:t>
      </w:r>
      <w:r>
        <w:rPr>
          <w:rFonts w:hAnsi="宋体" w:hint="eastAsia"/>
          <w:color w:val="0000FF"/>
          <w:szCs w:val="21"/>
          <w:highlight w:val="yellow"/>
        </w:rPr>
        <w:t>；</w:t>
      </w:r>
    </w:p>
    <w:p w:rsidR="00B61B0C" w:rsidRDefault="00B92C07">
      <w:pPr>
        <w:spacing w:afterLines="50" w:after="156" w:line="240" w:lineRule="exact"/>
        <w:ind w:leftChars="25" w:left="53"/>
        <w:rPr>
          <w:rFonts w:hAnsi="宋体"/>
          <w:color w:val="0000FF"/>
          <w:szCs w:val="21"/>
          <w:highlight w:val="yellow"/>
        </w:rPr>
      </w:pPr>
      <w:r>
        <w:rPr>
          <w:rFonts w:hAnsi="宋体" w:hint="eastAsia"/>
          <w:color w:val="0000FF"/>
          <w:szCs w:val="21"/>
          <w:highlight w:val="yellow"/>
        </w:rPr>
        <w:t>页眉用小五，奇偶页内容不同；总长不超过</w:t>
      </w:r>
      <w:r>
        <w:rPr>
          <w:rFonts w:hAnsi="宋体" w:hint="eastAsia"/>
          <w:color w:val="0000FF"/>
          <w:szCs w:val="21"/>
          <w:highlight w:val="yellow"/>
        </w:rPr>
        <w:t>4</w:t>
      </w:r>
      <w:r>
        <w:rPr>
          <w:rFonts w:hAnsi="宋体" w:hint="eastAsia"/>
          <w:color w:val="0000FF"/>
          <w:szCs w:val="21"/>
          <w:highlight w:val="yellow"/>
        </w:rPr>
        <w:t>页；</w:t>
      </w:r>
    </w:p>
    <w:p w:rsidR="00B61B0C" w:rsidRDefault="00B61B0C">
      <w:pPr>
        <w:spacing w:afterLines="50" w:after="156" w:line="240" w:lineRule="exact"/>
        <w:rPr>
          <w:rFonts w:hAnsi="宋体"/>
          <w:color w:val="0000FF"/>
          <w:szCs w:val="21"/>
          <w:highlight w:val="yellow"/>
        </w:rPr>
      </w:pPr>
    </w:p>
    <w:p w:rsidR="00B61B0C" w:rsidRDefault="00B61B0C">
      <w:pPr>
        <w:spacing w:afterLines="50" w:after="156" w:line="240" w:lineRule="exact"/>
        <w:ind w:leftChars="25" w:left="53" w:firstLineChars="200" w:firstLine="420"/>
        <w:rPr>
          <w:rFonts w:hAnsi="宋体"/>
          <w:color w:val="0000FF"/>
          <w:szCs w:val="21"/>
          <w:highlight w:val="yellow"/>
        </w:rPr>
        <w:sectPr w:rsidR="00B61B0C">
          <w:type w:val="continuous"/>
          <w:pgSz w:w="11906" w:h="16838"/>
          <w:pgMar w:top="1134" w:right="851" w:bottom="1134" w:left="1134" w:header="1134" w:footer="992" w:gutter="0"/>
          <w:pgNumType w:fmt="numberInDash"/>
          <w:cols w:num="2" w:space="425"/>
          <w:docGrid w:type="linesAndChars" w:linePitch="312"/>
        </w:sectPr>
      </w:pPr>
    </w:p>
    <w:p w:rsidR="00B61B0C" w:rsidRDefault="00B61B0C">
      <w:pPr>
        <w:autoSpaceDE w:val="0"/>
        <w:autoSpaceDN w:val="0"/>
        <w:adjustRightInd w:val="0"/>
        <w:spacing w:line="240" w:lineRule="exact"/>
        <w:ind w:firstLineChars="200" w:firstLine="360"/>
        <w:rPr>
          <w:color w:val="000000"/>
          <w:kern w:val="0"/>
          <w:sz w:val="18"/>
          <w:szCs w:val="18"/>
        </w:rPr>
      </w:pPr>
    </w:p>
    <w:p w:rsidR="00B61B0C" w:rsidRDefault="00B61B0C">
      <w:pPr>
        <w:autoSpaceDE w:val="0"/>
        <w:autoSpaceDN w:val="0"/>
        <w:adjustRightInd w:val="0"/>
        <w:spacing w:line="240" w:lineRule="exact"/>
        <w:ind w:firstLineChars="200" w:firstLine="360"/>
        <w:rPr>
          <w:color w:val="000000"/>
          <w:kern w:val="0"/>
          <w:sz w:val="18"/>
          <w:szCs w:val="18"/>
        </w:rPr>
      </w:pPr>
    </w:p>
    <w:p w:rsidR="00B61B0C" w:rsidRDefault="00B61B0C">
      <w:pPr>
        <w:autoSpaceDE w:val="0"/>
        <w:autoSpaceDN w:val="0"/>
        <w:adjustRightInd w:val="0"/>
        <w:ind w:firstLineChars="200" w:firstLine="360"/>
        <w:rPr>
          <w:color w:val="000000"/>
          <w:kern w:val="0"/>
          <w:sz w:val="18"/>
          <w:szCs w:val="18"/>
        </w:rPr>
      </w:pPr>
    </w:p>
    <w:p w:rsidR="00B61B0C" w:rsidRDefault="00B92C07">
      <w:pPr>
        <w:autoSpaceDE w:val="0"/>
        <w:autoSpaceDN w:val="0"/>
        <w:adjustRightInd w:val="0"/>
        <w:ind w:firstLineChars="200" w:firstLine="640"/>
        <w:jc w:val="center"/>
        <w:rPr>
          <w:rFonts w:ascii="黑体" w:eastAsia="黑体" w:hAnsi="黑体"/>
          <w:color w:val="000000"/>
          <w:kern w:val="0"/>
          <w:sz w:val="32"/>
          <w:szCs w:val="32"/>
        </w:rPr>
      </w:pPr>
      <w:r>
        <w:rPr>
          <w:rFonts w:ascii="黑体" w:eastAsia="黑体" w:hAnsi="黑体" w:hint="eastAsia"/>
          <w:color w:val="000000"/>
          <w:kern w:val="0"/>
          <w:sz w:val="32"/>
          <w:szCs w:val="32"/>
        </w:rPr>
        <w:t>华东理工大学学报参考文献格式</w:t>
      </w:r>
    </w:p>
    <w:p w:rsidR="00B61B0C" w:rsidRDefault="00B92C07">
      <w:pPr>
        <w:rPr>
          <w:color w:val="333333"/>
        </w:rPr>
      </w:pPr>
      <w:r>
        <w:rPr>
          <w:rStyle w:val="apple-style-span"/>
          <w:color w:val="333333"/>
        </w:rPr>
        <w:t>1 </w:t>
      </w:r>
      <w:r>
        <w:rPr>
          <w:rStyle w:val="apple-style-span"/>
          <w:color w:val="333333"/>
        </w:rPr>
        <w:t>文稿组成必须包括：文题、作者姓名、作者单位（地址和邮编）、中英文摘要与关键词（</w:t>
      </w:r>
      <w:r>
        <w:rPr>
          <w:rStyle w:val="apple-style-span"/>
          <w:color w:val="333333"/>
        </w:rPr>
        <w:t>3~8</w:t>
      </w:r>
      <w:r>
        <w:rPr>
          <w:rStyle w:val="apple-style-span"/>
          <w:color w:val="333333"/>
        </w:rPr>
        <w:t>个，尽量用汉语主题词表提供的规范词）、中图分类号、英文文题、第一作者简介（姓名、出生年、性别、籍贯、职称、学历、研究方向）、正文、参考文献。基金论文请在文稿首页地脚处注明属何种资助项目。</w:t>
      </w:r>
      <w:r>
        <w:rPr>
          <w:rStyle w:val="apple-style-span"/>
          <w:color w:val="333333"/>
        </w:rPr>
        <w:t> </w:t>
      </w:r>
    </w:p>
    <w:p w:rsidR="00B61B0C" w:rsidRDefault="00B92C07">
      <w:pPr>
        <w:rPr>
          <w:color w:val="333333"/>
        </w:rPr>
      </w:pPr>
      <w:r>
        <w:rPr>
          <w:rStyle w:val="apple-style-span"/>
          <w:color w:val="333333"/>
        </w:rPr>
        <w:t xml:space="preserve">2  </w:t>
      </w:r>
      <w:r>
        <w:rPr>
          <w:rStyle w:val="apple-style-span"/>
          <w:color w:val="333333"/>
        </w:rPr>
        <w:t>摘要应具有独立性和自含性，即不阅读全文，就能获得必要的信息。摘要应说明研究目的、方法、结果和结论，而重点是结果和结论。中文摘要一般为</w:t>
      </w:r>
      <w:r>
        <w:rPr>
          <w:rStyle w:val="apple-style-span"/>
          <w:color w:val="333333"/>
        </w:rPr>
        <w:t>150~250</w:t>
      </w:r>
      <w:r>
        <w:rPr>
          <w:rStyle w:val="apple-style-span"/>
          <w:color w:val="333333"/>
        </w:rPr>
        <w:t>字，英文摘要为</w:t>
      </w:r>
      <w:r>
        <w:rPr>
          <w:rStyle w:val="apple-style-span"/>
          <w:color w:val="333333"/>
        </w:rPr>
        <w:t>100~150</w:t>
      </w:r>
      <w:r>
        <w:rPr>
          <w:rStyle w:val="apple-style-span"/>
          <w:color w:val="333333"/>
        </w:rPr>
        <w:t>个实词。英文摘要的句型力求简单，主谓语要搭配。文摘中的缩略语、略称、代号，在首次出现时必须加以说明。</w:t>
      </w:r>
      <w:r>
        <w:rPr>
          <w:rStyle w:val="apple-converted-space"/>
          <w:color w:val="333333"/>
        </w:rPr>
        <w:t> </w:t>
      </w:r>
    </w:p>
    <w:p w:rsidR="00B61B0C" w:rsidRDefault="00B92C07">
      <w:pPr>
        <w:rPr>
          <w:color w:val="333333"/>
        </w:rPr>
      </w:pPr>
      <w:r>
        <w:rPr>
          <w:rStyle w:val="apple-style-span"/>
          <w:color w:val="333333"/>
        </w:rPr>
        <w:t xml:space="preserve">3  </w:t>
      </w:r>
      <w:r>
        <w:rPr>
          <w:rStyle w:val="apple-style-span"/>
          <w:color w:val="333333"/>
        </w:rPr>
        <w:t>文稿章节编排采用三级标题，各层次标题一律用阿拉伯字连续编号，如</w:t>
      </w:r>
      <w:r>
        <w:rPr>
          <w:rStyle w:val="apple-style-span"/>
          <w:color w:val="333333"/>
        </w:rPr>
        <w:t>“1”</w:t>
      </w:r>
      <w:r>
        <w:rPr>
          <w:rStyle w:val="apple-style-span"/>
          <w:color w:val="333333"/>
        </w:rPr>
        <w:t>，</w:t>
      </w:r>
      <w:r>
        <w:rPr>
          <w:rStyle w:val="apple-style-span"/>
          <w:color w:val="333333"/>
        </w:rPr>
        <w:t>“2.1”“3.1.2”</w:t>
      </w:r>
      <w:r>
        <w:rPr>
          <w:rStyle w:val="apple-style-span"/>
          <w:color w:val="333333"/>
        </w:rPr>
        <w:t>等。前言不用标题。</w:t>
      </w:r>
      <w:r>
        <w:rPr>
          <w:rStyle w:val="apple-style-span"/>
          <w:color w:val="333333"/>
        </w:rPr>
        <w:t> </w:t>
      </w:r>
      <w:r>
        <w:rPr>
          <w:rStyle w:val="apple-converted-space"/>
          <w:color w:val="333333"/>
        </w:rPr>
        <w:t> </w:t>
      </w:r>
    </w:p>
    <w:p w:rsidR="00B61B0C" w:rsidRDefault="00B92C07">
      <w:pPr>
        <w:rPr>
          <w:color w:val="333333"/>
        </w:rPr>
      </w:pPr>
      <w:r>
        <w:rPr>
          <w:rStyle w:val="apple-style-span"/>
          <w:color w:val="333333"/>
        </w:rPr>
        <w:t>4  </w:t>
      </w:r>
      <w:r>
        <w:rPr>
          <w:rStyle w:val="apple-style-span"/>
          <w:color w:val="333333"/>
        </w:rPr>
        <w:t>文稿中的物理量和计量单位一律采用国家标准或国际标准。对外文字母、单位、符号的大小写、上下角标及易混淆的字母标注清楚。</w:t>
      </w:r>
      <w:r>
        <w:rPr>
          <w:rStyle w:val="apple-converted-space"/>
          <w:color w:val="333333"/>
        </w:rPr>
        <w:t> </w:t>
      </w:r>
    </w:p>
    <w:p w:rsidR="00B61B0C" w:rsidRDefault="00B92C07">
      <w:pPr>
        <w:rPr>
          <w:color w:val="333333"/>
        </w:rPr>
      </w:pPr>
      <w:r>
        <w:rPr>
          <w:rStyle w:val="apple-style-span"/>
          <w:color w:val="333333"/>
        </w:rPr>
        <w:t>5  </w:t>
      </w:r>
      <w:r>
        <w:rPr>
          <w:rStyle w:val="apple-style-span"/>
          <w:color w:val="333333"/>
        </w:rPr>
        <w:t>文中图、表随文出现，应有图号、图题及表号、表题，图、表名需用中英文对照，图、表中的内容均用英文。附图尺寸一般要求不超过</w:t>
      </w:r>
      <w:r>
        <w:rPr>
          <w:rStyle w:val="apple-style-span"/>
          <w:color w:val="333333"/>
        </w:rPr>
        <w:t>6.0 cm</w:t>
      </w:r>
      <w:r>
        <w:rPr>
          <w:rStyle w:val="apple-style-span"/>
          <w:color w:val="333333"/>
        </w:rPr>
        <w:t>；照片应选用反差较大、层次分明的黑白照片（保留原照片的刻度），尺寸一般为</w:t>
      </w:r>
      <w:r>
        <w:rPr>
          <w:rStyle w:val="apple-style-span"/>
          <w:color w:val="333333"/>
        </w:rPr>
        <w:t>4 cm*3 cm</w:t>
      </w:r>
      <w:r>
        <w:rPr>
          <w:rStyle w:val="apple-style-span"/>
          <w:color w:val="333333"/>
        </w:rPr>
        <w:t>，文中表格一律使用三线表（无竖线、斜线，仅保留顶、底线及栏目线）。</w:t>
      </w:r>
      <w:r>
        <w:rPr>
          <w:rStyle w:val="apple-converted-space"/>
          <w:color w:val="333333"/>
        </w:rPr>
        <w:t> </w:t>
      </w:r>
    </w:p>
    <w:p w:rsidR="00B61B0C" w:rsidRDefault="00B92C07">
      <w:pPr>
        <w:rPr>
          <w:rStyle w:val="apple-converted-space"/>
          <w:color w:val="333333"/>
        </w:rPr>
      </w:pPr>
      <w:r>
        <w:rPr>
          <w:rStyle w:val="apple-style-span"/>
          <w:color w:val="333333"/>
        </w:rPr>
        <w:t>6  </w:t>
      </w:r>
      <w:r>
        <w:rPr>
          <w:rStyle w:val="apple-style-span"/>
          <w:color w:val="333333"/>
        </w:rPr>
        <w:t>参考文献应著录最主要的资料，未公开发表的原则上不引用，文献序号应与文中引用先后次序一致。参考文献的著录格式如下：</w:t>
      </w:r>
    </w:p>
    <w:p w:rsidR="00B61B0C" w:rsidRDefault="00B92C07">
      <w:pPr>
        <w:rPr>
          <w:color w:val="333333"/>
        </w:rPr>
      </w:pPr>
      <w:r>
        <w:rPr>
          <w:rStyle w:val="apple-style-span"/>
          <w:color w:val="333333"/>
        </w:rPr>
        <w:t>（</w:t>
      </w:r>
      <w:r>
        <w:rPr>
          <w:rStyle w:val="apple-style-span"/>
          <w:color w:val="333333"/>
        </w:rPr>
        <w:t>1</w:t>
      </w:r>
      <w:r>
        <w:rPr>
          <w:rStyle w:val="apple-style-span"/>
          <w:color w:val="333333"/>
        </w:rPr>
        <w:t>）期刊：作者．题名</w:t>
      </w:r>
      <w:r>
        <w:rPr>
          <w:rStyle w:val="apple-style-span"/>
          <w:color w:val="333333"/>
        </w:rPr>
        <w:t>[J]</w:t>
      </w:r>
      <w:r>
        <w:rPr>
          <w:rStyle w:val="apple-style-span"/>
          <w:color w:val="333333"/>
        </w:rPr>
        <w:t>．刊名，出版年，卷号（期号）：起止页码．</w:t>
      </w:r>
      <w:r>
        <w:rPr>
          <w:rStyle w:val="apple-converted-space"/>
          <w:color w:val="333333"/>
        </w:rPr>
        <w:t> </w:t>
      </w:r>
    </w:p>
    <w:p w:rsidR="00B61B0C" w:rsidRDefault="00B92C07">
      <w:pPr>
        <w:rPr>
          <w:color w:val="333333"/>
        </w:rPr>
      </w:pPr>
      <w:r>
        <w:rPr>
          <w:rStyle w:val="apple-style-span"/>
          <w:color w:val="333333"/>
        </w:rPr>
        <w:t>（</w:t>
      </w:r>
      <w:r>
        <w:rPr>
          <w:rStyle w:val="apple-style-span"/>
          <w:color w:val="333333"/>
        </w:rPr>
        <w:t>2</w:t>
      </w:r>
      <w:r>
        <w:rPr>
          <w:rStyle w:val="apple-style-span"/>
          <w:color w:val="333333"/>
        </w:rPr>
        <w:t>）专著：作者．书名．版本（初版不写）</w:t>
      </w:r>
      <w:r>
        <w:rPr>
          <w:rStyle w:val="apple-style-span"/>
          <w:color w:val="333333"/>
        </w:rPr>
        <w:t>[M]</w:t>
      </w:r>
      <w:r>
        <w:rPr>
          <w:rStyle w:val="apple-style-span"/>
          <w:color w:val="333333"/>
        </w:rPr>
        <w:t>．出版地：出版者，出版年．起止页码．</w:t>
      </w:r>
      <w:r>
        <w:rPr>
          <w:rStyle w:val="apple-converted-space"/>
          <w:color w:val="333333"/>
        </w:rPr>
        <w:t> </w:t>
      </w:r>
    </w:p>
    <w:p w:rsidR="00B61B0C" w:rsidRDefault="00B92C07">
      <w:pPr>
        <w:rPr>
          <w:color w:val="333333"/>
        </w:rPr>
      </w:pPr>
      <w:r>
        <w:rPr>
          <w:rStyle w:val="apple-style-span"/>
          <w:color w:val="333333"/>
        </w:rPr>
        <w:t>（</w:t>
      </w:r>
      <w:r>
        <w:rPr>
          <w:rStyle w:val="apple-style-span"/>
          <w:color w:val="333333"/>
        </w:rPr>
        <w:t>3</w:t>
      </w:r>
      <w:r>
        <w:rPr>
          <w:rStyle w:val="apple-style-span"/>
          <w:color w:val="333333"/>
        </w:rPr>
        <w:t>）论文集析出文献：作者．题名</w:t>
      </w:r>
      <w:r>
        <w:rPr>
          <w:rStyle w:val="apple-style-span"/>
          <w:color w:val="333333"/>
        </w:rPr>
        <w:t>[A]</w:t>
      </w:r>
      <w:r>
        <w:rPr>
          <w:rStyle w:val="apple-style-span"/>
          <w:color w:val="333333"/>
        </w:rPr>
        <w:t>．</w:t>
      </w:r>
      <w:r>
        <w:rPr>
          <w:rStyle w:val="apple-style-span"/>
          <w:color w:val="333333"/>
        </w:rPr>
        <w:t> </w:t>
      </w:r>
      <w:r>
        <w:rPr>
          <w:rStyle w:val="apple-style-span"/>
          <w:color w:val="333333"/>
        </w:rPr>
        <w:t>编者．论文集名</w:t>
      </w:r>
      <w:r>
        <w:rPr>
          <w:rStyle w:val="apple-style-span"/>
          <w:color w:val="333333"/>
        </w:rPr>
        <w:t>[C]</w:t>
      </w:r>
      <w:r>
        <w:rPr>
          <w:rStyle w:val="apple-style-span"/>
          <w:color w:val="333333"/>
        </w:rPr>
        <w:t>．出版地：出版者，出版年．起止页码．</w:t>
      </w:r>
      <w:r>
        <w:rPr>
          <w:rStyle w:val="apple-converted-space"/>
          <w:color w:val="333333"/>
        </w:rPr>
        <w:t> </w:t>
      </w:r>
    </w:p>
    <w:p w:rsidR="00B61B0C" w:rsidRDefault="00B92C07">
      <w:pPr>
        <w:rPr>
          <w:color w:val="333333"/>
        </w:rPr>
      </w:pPr>
      <w:r>
        <w:rPr>
          <w:rStyle w:val="apple-style-span"/>
          <w:color w:val="333333"/>
        </w:rPr>
        <w:t>（</w:t>
      </w:r>
      <w:r>
        <w:rPr>
          <w:rStyle w:val="apple-style-span"/>
          <w:color w:val="333333"/>
        </w:rPr>
        <w:t>4</w:t>
      </w:r>
      <w:r>
        <w:rPr>
          <w:rStyle w:val="apple-style-span"/>
          <w:color w:val="333333"/>
        </w:rPr>
        <w:t>）学位论文：作者．题名</w:t>
      </w:r>
      <w:r>
        <w:rPr>
          <w:rStyle w:val="apple-style-span"/>
          <w:color w:val="333333"/>
        </w:rPr>
        <w:t>[D]</w:t>
      </w:r>
      <w:r>
        <w:rPr>
          <w:rStyle w:val="apple-style-span"/>
          <w:color w:val="333333"/>
        </w:rPr>
        <w:t>．保存地点：保存单位，年份．</w:t>
      </w:r>
      <w:r>
        <w:rPr>
          <w:rStyle w:val="apple-converted-space"/>
          <w:color w:val="333333"/>
        </w:rPr>
        <w:t> </w:t>
      </w:r>
    </w:p>
    <w:p w:rsidR="00B61B0C" w:rsidRDefault="00B92C07">
      <w:pPr>
        <w:rPr>
          <w:rStyle w:val="apple-converted-space"/>
          <w:color w:val="333333"/>
        </w:rPr>
      </w:pPr>
      <w:r>
        <w:rPr>
          <w:rStyle w:val="apple-style-span"/>
          <w:color w:val="333333"/>
        </w:rPr>
        <w:t>（</w:t>
      </w:r>
      <w:r>
        <w:rPr>
          <w:rStyle w:val="apple-style-span"/>
          <w:color w:val="333333"/>
        </w:rPr>
        <w:t>5</w:t>
      </w:r>
      <w:r>
        <w:rPr>
          <w:rStyle w:val="apple-style-span"/>
          <w:color w:val="333333"/>
        </w:rPr>
        <w:t>）专利文献</w:t>
      </w:r>
      <w:r>
        <w:rPr>
          <w:rStyle w:val="apple-style-span"/>
          <w:color w:val="333333"/>
        </w:rPr>
        <w:t>: </w:t>
      </w:r>
      <w:r>
        <w:rPr>
          <w:rStyle w:val="apple-style-span"/>
          <w:color w:val="333333"/>
        </w:rPr>
        <w:t>专利申请者．题名</w:t>
      </w:r>
      <w:r>
        <w:rPr>
          <w:rStyle w:val="apple-style-span"/>
          <w:color w:val="333333"/>
        </w:rPr>
        <w:t>[P]</w:t>
      </w:r>
      <w:r>
        <w:rPr>
          <w:rStyle w:val="apple-style-span"/>
          <w:color w:val="333333"/>
        </w:rPr>
        <w:t>．专利国别：专利号．出版日期．</w:t>
      </w:r>
    </w:p>
    <w:p w:rsidR="00B61B0C" w:rsidRDefault="00B92C07">
      <w:pPr>
        <w:rPr>
          <w:rStyle w:val="apple-converted-space"/>
          <w:color w:val="333333"/>
        </w:rPr>
      </w:pPr>
      <w:r>
        <w:rPr>
          <w:rStyle w:val="apple-style-span"/>
          <w:color w:val="333333"/>
        </w:rPr>
        <w:t>（</w:t>
      </w:r>
      <w:r>
        <w:rPr>
          <w:rStyle w:val="apple-style-span"/>
          <w:color w:val="333333"/>
        </w:rPr>
        <w:t>6</w:t>
      </w:r>
      <w:r>
        <w:rPr>
          <w:rStyle w:val="apple-style-span"/>
          <w:color w:val="333333"/>
        </w:rPr>
        <w:t>）电子文献</w:t>
      </w:r>
      <w:r>
        <w:rPr>
          <w:rStyle w:val="apple-style-span"/>
          <w:color w:val="333333"/>
        </w:rPr>
        <w:t>: </w:t>
      </w:r>
      <w:r>
        <w:rPr>
          <w:rStyle w:val="apple-style-span"/>
          <w:color w:val="333333"/>
        </w:rPr>
        <w:t>作者．题名</w:t>
      </w:r>
      <w:r>
        <w:rPr>
          <w:rStyle w:val="apple-style-span"/>
          <w:color w:val="333333"/>
        </w:rPr>
        <w:t>[EB/OL]</w:t>
      </w:r>
      <w:r>
        <w:rPr>
          <w:rStyle w:val="apple-style-span"/>
          <w:color w:val="333333"/>
        </w:rPr>
        <w:t>．电子文献地址．发表或更新日期</w:t>
      </w:r>
      <w:r>
        <w:rPr>
          <w:rStyle w:val="apple-style-span"/>
          <w:color w:val="333333"/>
        </w:rPr>
        <w:t>/</w:t>
      </w:r>
      <w:r>
        <w:rPr>
          <w:rStyle w:val="apple-style-span"/>
          <w:color w:val="333333"/>
        </w:rPr>
        <w:t>引用日期．</w:t>
      </w:r>
      <w:r>
        <w:rPr>
          <w:rStyle w:val="apple-converted-space"/>
          <w:color w:val="333333"/>
        </w:rPr>
        <w:t> </w:t>
      </w:r>
    </w:p>
    <w:p w:rsidR="00B61B0C" w:rsidRDefault="00B61B0C">
      <w:pPr>
        <w:rPr>
          <w:rStyle w:val="apple-converted-space"/>
          <w:color w:val="333333"/>
        </w:rPr>
      </w:pPr>
    </w:p>
    <w:p w:rsidR="00B61B0C" w:rsidRDefault="00B92C07">
      <w:r>
        <w:rPr>
          <w:rStyle w:val="apple-converted-space"/>
          <w:color w:val="333333"/>
        </w:rPr>
        <w:t>以上内容摘自：</w:t>
      </w:r>
      <w:hyperlink r:id="rId14" w:history="1">
        <w:r>
          <w:rPr>
            <w:rStyle w:val="a7"/>
          </w:rPr>
          <w:t>http://journal.ecust.edu.cn/ch/index.aspx</w:t>
        </w:r>
      </w:hyperlink>
    </w:p>
    <w:p w:rsidR="00B92C07" w:rsidRDefault="00B92C07">
      <w:pPr>
        <w:autoSpaceDE w:val="0"/>
        <w:autoSpaceDN w:val="0"/>
        <w:adjustRightInd w:val="0"/>
        <w:ind w:firstLineChars="200" w:firstLine="480"/>
        <w:jc w:val="center"/>
        <w:rPr>
          <w:rFonts w:ascii="宋体" w:hAnsi="宋体"/>
          <w:color w:val="000000"/>
          <w:kern w:val="0"/>
          <w:sz w:val="24"/>
          <w:szCs w:val="32"/>
        </w:rPr>
      </w:pPr>
    </w:p>
    <w:sectPr w:rsidR="00B92C07">
      <w:type w:val="continuous"/>
      <w:pgSz w:w="11906" w:h="16838"/>
      <w:pgMar w:top="1134" w:right="851" w:bottom="1134" w:left="1134" w:header="1134"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D" w:rsidRDefault="00F1112D">
      <w:r>
        <w:separator/>
      </w:r>
    </w:p>
  </w:endnote>
  <w:endnote w:type="continuationSeparator" w:id="0">
    <w:p w:rsidR="00F1112D" w:rsidRDefault="00F1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D" w:rsidRDefault="00F1112D">
      <w:r>
        <w:separator/>
      </w:r>
    </w:p>
  </w:footnote>
  <w:footnote w:type="continuationSeparator" w:id="0">
    <w:p w:rsidR="00F1112D" w:rsidRDefault="00F11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0C" w:rsidRDefault="00B92C07">
    <w:pPr>
      <w:pStyle w:val="aa"/>
      <w:jc w:val="both"/>
    </w:pPr>
    <w:r>
      <w:fldChar w:fldCharType="begin"/>
    </w:r>
    <w:r>
      <w:rPr>
        <w:rStyle w:val="a6"/>
      </w:rPr>
      <w:instrText xml:space="preserve"> PAGE </w:instrText>
    </w:r>
    <w:r>
      <w:fldChar w:fldCharType="separate"/>
    </w:r>
    <w:r w:rsidR="0026283B">
      <w:rPr>
        <w:rStyle w:val="a6"/>
        <w:noProof/>
      </w:rPr>
      <w:t>- 2 -</w:t>
    </w:r>
    <w:r>
      <w:fldChar w:fldCharType="end"/>
    </w:r>
    <w:r>
      <w:rPr>
        <w:rStyle w:val="a6"/>
        <w:rFonts w:hint="eastAsia"/>
      </w:rPr>
      <w:t xml:space="preserve">                             </w:t>
    </w:r>
    <w:r>
      <w:rPr>
        <w:rStyle w:val="a6"/>
        <w:rFonts w:hint="eastAsia"/>
      </w:rPr>
      <w:t>（姓名）</w:t>
    </w:r>
    <w:r>
      <w:rPr>
        <w:rStyle w:val="a6"/>
        <w:rFonts w:hint="eastAsia"/>
      </w:rPr>
      <w:t xml:space="preserve">: </w:t>
    </w:r>
    <w:r>
      <w:rPr>
        <w:rStyle w:val="a6"/>
        <w:rFonts w:hint="eastAsia"/>
      </w:rPr>
      <w:t>微反应法合成</w:t>
    </w:r>
    <w:r>
      <w:rPr>
        <w:rStyle w:val="a6"/>
        <w:rFonts w:hint="eastAsia"/>
      </w:rPr>
      <w:t>CdSeS</w:t>
    </w:r>
    <w:r>
      <w:rPr>
        <w:rStyle w:val="a6"/>
        <w:rFonts w:hint="eastAsia"/>
      </w:rPr>
      <w:t>三元合金量子点</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0C" w:rsidRDefault="00B92C07">
    <w:pPr>
      <w:pStyle w:val="aa"/>
      <w:wordWrap w:val="0"/>
      <w:jc w:val="right"/>
    </w:pPr>
    <w:r>
      <w:rPr>
        <w:rFonts w:hint="eastAsia"/>
      </w:rPr>
      <w:t>承压系统与安全研究生学术年会</w:t>
    </w:r>
    <w:r>
      <w:rPr>
        <w:rFonts w:hint="eastAsia"/>
      </w:rPr>
      <w:t xml:space="preserve">    </w:t>
    </w:r>
    <w:r w:rsidR="007904C4">
      <w:rPr>
        <w:rFonts w:hint="eastAsia"/>
      </w:rPr>
      <w:t>201</w:t>
    </w:r>
    <w:r w:rsidR="0026283B">
      <w:t>5</w:t>
    </w:r>
    <w:r>
      <w:rPr>
        <w:rFonts w:hint="eastAsia"/>
      </w:rPr>
      <w:t>年</w:t>
    </w:r>
    <w:r>
      <w:rPr>
        <w:rFonts w:hint="eastAsia"/>
      </w:rPr>
      <w:t>1</w:t>
    </w:r>
    <w:r w:rsidR="0026283B">
      <w:t>2</w:t>
    </w:r>
    <w:r>
      <w:rPr>
        <w:rFonts w:hint="eastAsia"/>
      </w:rPr>
      <w:t>月</w:t>
    </w:r>
    <w:r w:rsidR="0026283B">
      <w:rPr>
        <w:rFonts w:hint="eastAsia"/>
      </w:rPr>
      <w:t>19</w:t>
    </w:r>
    <w:r>
      <w:rPr>
        <w:rFonts w:hint="eastAsia"/>
      </w:rPr>
      <w:t>日－</w:t>
    </w:r>
    <w:r w:rsidR="0026283B">
      <w:t>20</w:t>
    </w:r>
    <w:r>
      <w:rPr>
        <w:rFonts w:hint="eastAsia"/>
      </w:rPr>
      <w:t>日</w:t>
    </w:r>
    <w:r>
      <w:rPr>
        <w:rFonts w:hint="eastAsia"/>
      </w:rPr>
      <w:t xml:space="preserve">                   </w:t>
    </w:r>
    <w:r>
      <w:fldChar w:fldCharType="begin"/>
    </w:r>
    <w:r>
      <w:rPr>
        <w:rStyle w:val="a6"/>
      </w:rPr>
      <w:instrText xml:space="preserve"> PAGE </w:instrText>
    </w:r>
    <w:r>
      <w:fldChar w:fldCharType="separate"/>
    </w:r>
    <w:r w:rsidR="0026283B">
      <w:rPr>
        <w:rStyle w:val="a6"/>
        <w:noProof/>
      </w:rPr>
      <w:t>- 3 -</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pStyle w:val="FigCHeading"/>
      <w:lvlText w:val="图 %1 "/>
      <w:lvlJc w:val="left"/>
      <w:pPr>
        <w:tabs>
          <w:tab w:val="num" w:pos="360"/>
        </w:tabs>
        <w:ind w:left="360" w:hanging="360"/>
      </w:pPr>
      <w:rPr>
        <w:rFonts w:ascii="Times New Roman" w:eastAsia="黑体" w:hAnsi="Times New Roman"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B"/>
    <w:multiLevelType w:val="multilevel"/>
    <w:tmpl w:val="0000000B"/>
    <w:lvl w:ilvl="0">
      <w:start w:val="1"/>
      <w:numFmt w:val="decimal"/>
      <w:pStyle w:val="1"/>
      <w:lvlText w:val="%1"/>
      <w:lvlJc w:val="left"/>
      <w:pPr>
        <w:tabs>
          <w:tab w:val="num" w:pos="432"/>
        </w:tabs>
        <w:ind w:left="432" w:hanging="432"/>
      </w:pPr>
      <w:rPr>
        <w:rFonts w:hint="eastAsia"/>
      </w:rPr>
    </w:lvl>
    <w:lvl w:ilvl="1">
      <w:start w:val="1"/>
      <w:numFmt w:val="decimal"/>
      <w:pStyle w:val="2"/>
      <w:lvlText w:val="2.%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15:restartNumberingAfterBreak="0">
    <w:nsid w:val="0000000C"/>
    <w:multiLevelType w:val="multilevel"/>
    <w:tmpl w:val="0000000C"/>
    <w:lvl w:ilvl="0">
      <w:start w:val="1"/>
      <w:numFmt w:val="decimal"/>
      <w:pStyle w:val="FigEHeading"/>
      <w:lvlText w:val="Fig.%1"/>
      <w:lvlJc w:val="left"/>
      <w:pPr>
        <w:tabs>
          <w:tab w:val="num" w:pos="720"/>
        </w:tabs>
        <w:ind w:left="360" w:hanging="360"/>
      </w:pPr>
      <w:rPr>
        <w:rFonts w:ascii="Times New Roman" w:hAnsi="Times New Roman"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2CC3"/>
    <w:rsid w:val="0026283B"/>
    <w:rsid w:val="0031142F"/>
    <w:rsid w:val="007904C4"/>
    <w:rsid w:val="009441B5"/>
    <w:rsid w:val="00B61B0C"/>
    <w:rsid w:val="00B92C07"/>
    <w:rsid w:val="00F1112D"/>
    <w:rsid w:val="00FA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638BE86"/>
  <w15:docId w15:val="{5F6A51CF-914A-4438-BC50-79516868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3"/>
      </w:numPr>
      <w:tabs>
        <w:tab w:val="left" w:pos="432"/>
      </w:tabs>
      <w:outlineLvl w:val="0"/>
    </w:pPr>
    <w:rPr>
      <w:b/>
      <w:kern w:val="44"/>
      <w:sz w:val="28"/>
      <w:szCs w:val="20"/>
    </w:rPr>
  </w:style>
  <w:style w:type="paragraph" w:styleId="2">
    <w:name w:val="heading 2"/>
    <w:basedOn w:val="a"/>
    <w:next w:val="a"/>
    <w:qFormat/>
    <w:pPr>
      <w:keepNext/>
      <w:keepLines/>
      <w:numPr>
        <w:ilvl w:val="1"/>
        <w:numId w:val="3"/>
      </w:numPr>
      <w:tabs>
        <w:tab w:val="left" w:pos="576"/>
      </w:tabs>
      <w:outlineLvl w:val="1"/>
    </w:pPr>
    <w:rPr>
      <w:rFonts w:eastAsia="黑体"/>
      <w:b/>
      <w:szCs w:val="20"/>
    </w:rPr>
  </w:style>
  <w:style w:type="paragraph" w:styleId="3">
    <w:name w:val="heading 3"/>
    <w:basedOn w:val="a"/>
    <w:next w:val="a"/>
    <w:qFormat/>
    <w:pPr>
      <w:keepNext/>
      <w:keepLines/>
      <w:numPr>
        <w:ilvl w:val="2"/>
        <w:numId w:val="3"/>
      </w:numPr>
      <w:tabs>
        <w:tab w:val="left" w:pos="720"/>
      </w:tabs>
      <w:spacing w:before="260" w:after="260" w:line="413" w:lineRule="auto"/>
      <w:outlineLvl w:val="2"/>
    </w:pPr>
    <w:rPr>
      <w:b/>
      <w:bCs/>
      <w:sz w:val="32"/>
      <w:szCs w:val="32"/>
    </w:rPr>
  </w:style>
  <w:style w:type="paragraph" w:styleId="4">
    <w:name w:val="heading 4"/>
    <w:basedOn w:val="a"/>
    <w:next w:val="a"/>
    <w:qFormat/>
    <w:pPr>
      <w:keepNext/>
      <w:keepLines/>
      <w:numPr>
        <w:ilvl w:val="3"/>
        <w:numId w:val="3"/>
      </w:numPr>
      <w:tabs>
        <w:tab w:val="left" w:pos="864"/>
      </w:tab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numPr>
        <w:ilvl w:val="4"/>
        <w:numId w:val="3"/>
      </w:numPr>
      <w:tabs>
        <w:tab w:val="left" w:pos="1008"/>
      </w:tabs>
      <w:spacing w:before="280" w:after="290" w:line="372" w:lineRule="auto"/>
      <w:outlineLvl w:val="4"/>
    </w:pPr>
    <w:rPr>
      <w:b/>
      <w:bCs/>
      <w:sz w:val="28"/>
      <w:szCs w:val="28"/>
    </w:rPr>
  </w:style>
  <w:style w:type="paragraph" w:styleId="6">
    <w:name w:val="heading 6"/>
    <w:basedOn w:val="a"/>
    <w:next w:val="a"/>
    <w:qFormat/>
    <w:pPr>
      <w:keepNext/>
      <w:keepLines/>
      <w:numPr>
        <w:ilvl w:val="5"/>
        <w:numId w:val="3"/>
      </w:numPr>
      <w:tabs>
        <w:tab w:val="left" w:pos="1152"/>
      </w:tabs>
      <w:spacing w:before="240" w:after="64" w:line="317" w:lineRule="auto"/>
      <w:outlineLvl w:val="5"/>
    </w:pPr>
    <w:rPr>
      <w:rFonts w:ascii="Arial" w:eastAsia="黑体" w:hAnsi="Arial"/>
      <w:b/>
      <w:bCs/>
      <w:sz w:val="24"/>
    </w:rPr>
  </w:style>
  <w:style w:type="paragraph" w:styleId="7">
    <w:name w:val="heading 7"/>
    <w:basedOn w:val="a"/>
    <w:next w:val="a"/>
    <w:qFormat/>
    <w:pPr>
      <w:keepNext/>
      <w:keepLines/>
      <w:numPr>
        <w:ilvl w:val="6"/>
        <w:numId w:val="3"/>
      </w:numPr>
      <w:tabs>
        <w:tab w:val="left" w:pos="1296"/>
      </w:tabs>
      <w:spacing w:before="240" w:after="64" w:line="317" w:lineRule="auto"/>
      <w:outlineLvl w:val="6"/>
    </w:pPr>
    <w:rPr>
      <w:b/>
      <w:bCs/>
      <w:sz w:val="24"/>
    </w:rPr>
  </w:style>
  <w:style w:type="paragraph" w:styleId="8">
    <w:name w:val="heading 8"/>
    <w:basedOn w:val="a"/>
    <w:next w:val="a"/>
    <w:qFormat/>
    <w:pPr>
      <w:keepNext/>
      <w:keepLines/>
      <w:numPr>
        <w:ilvl w:val="7"/>
        <w:numId w:val="3"/>
      </w:numPr>
      <w:tabs>
        <w:tab w:val="left" w:pos="1440"/>
      </w:tabs>
      <w:spacing w:before="240" w:after="64" w:line="317" w:lineRule="auto"/>
      <w:outlineLvl w:val="7"/>
    </w:pPr>
    <w:rPr>
      <w:rFonts w:ascii="Arial" w:eastAsia="黑体" w:hAnsi="Arial"/>
      <w:sz w:val="24"/>
    </w:rPr>
  </w:style>
  <w:style w:type="paragraph" w:styleId="9">
    <w:name w:val="heading 9"/>
    <w:basedOn w:val="a"/>
    <w:next w:val="a"/>
    <w:qFormat/>
    <w:pPr>
      <w:keepNext/>
      <w:keepLines/>
      <w:numPr>
        <w:ilvl w:val="8"/>
        <w:numId w:val="3"/>
      </w:numPr>
      <w:tabs>
        <w:tab w:val="left" w:pos="1584"/>
      </w:tab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bf">
    <w:name w:val="bf"/>
    <w:basedOn w:val="a0"/>
  </w:style>
  <w:style w:type="character" w:customStyle="1" w:styleId="apple-style-span">
    <w:name w:val="apple-style-span"/>
    <w:basedOn w:val="a0"/>
  </w:style>
  <w:style w:type="character" w:customStyle="1" w:styleId="a3">
    <w:name w:val="文档结构图 字符"/>
    <w:basedOn w:val="a0"/>
    <w:link w:val="a4"/>
    <w:rPr>
      <w:rFonts w:ascii="宋体"/>
      <w:kern w:val="2"/>
      <w:sz w:val="18"/>
      <w:szCs w:val="18"/>
    </w:rPr>
  </w:style>
  <w:style w:type="character" w:styleId="a5">
    <w:name w:val="FollowedHyperlink"/>
    <w:basedOn w:val="a0"/>
    <w:rPr>
      <w:color w:val="800080"/>
      <w:u w:val="single"/>
    </w:rPr>
  </w:style>
  <w:style w:type="character" w:styleId="a6">
    <w:name w:val="page number"/>
    <w:basedOn w:val="a0"/>
  </w:style>
  <w:style w:type="character" w:styleId="a7">
    <w:name w:val="Hyperlink"/>
    <w:basedOn w:val="a0"/>
    <w:rPr>
      <w:color w:val="261CDC"/>
      <w:u w:val="single"/>
    </w:rPr>
  </w:style>
  <w:style w:type="paragraph" w:customStyle="1" w:styleId="ChineseTitle">
    <w:name w:val="Chinese Title"/>
    <w:basedOn w:val="a"/>
    <w:next w:val="a"/>
    <w:pPr>
      <w:spacing w:beforeLines="300" w:before="936" w:afterLines="150" w:after="468"/>
      <w:jc w:val="center"/>
    </w:pPr>
    <w:rPr>
      <w:rFonts w:ascii="黑体" w:eastAsia="黑体"/>
      <w:b/>
      <w:bCs/>
      <w:sz w:val="36"/>
    </w:rPr>
  </w:style>
  <w:style w:type="paragraph" w:customStyle="1" w:styleId="CAuthor">
    <w:name w:val="CAuthor"/>
    <w:basedOn w:val="a"/>
    <w:next w:val="a"/>
    <w:pPr>
      <w:spacing w:beforeLines="50" w:before="156" w:afterLines="50" w:after="156"/>
      <w:jc w:val="center"/>
    </w:pPr>
    <w:rPr>
      <w:rFonts w:ascii="楷体_GB2312" w:eastAsia="楷体_GB2312"/>
      <w:sz w:val="28"/>
    </w:rPr>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FigCHeading">
    <w:name w:val="FigCHeading"/>
    <w:basedOn w:val="a"/>
    <w:next w:val="a"/>
    <w:pPr>
      <w:numPr>
        <w:numId w:val="1"/>
      </w:numPr>
      <w:tabs>
        <w:tab w:val="left" w:pos="360"/>
      </w:tabs>
      <w:spacing w:beforeLines="50" w:before="156"/>
      <w:jc w:val="center"/>
    </w:pPr>
    <w:rPr>
      <w:rFonts w:eastAsia="黑体"/>
      <w:b/>
      <w:sz w:val="18"/>
      <w:szCs w:val="20"/>
    </w:rPr>
  </w:style>
  <w:style w:type="paragraph" w:customStyle="1" w:styleId="FigEHeading">
    <w:name w:val="FigEHeading"/>
    <w:basedOn w:val="a"/>
    <w:next w:val="a"/>
    <w:pPr>
      <w:numPr>
        <w:numId w:val="2"/>
      </w:numPr>
      <w:tabs>
        <w:tab w:val="left" w:pos="720"/>
      </w:tabs>
      <w:spacing w:afterLines="50" w:after="156"/>
      <w:jc w:val="center"/>
    </w:pPr>
    <w:rPr>
      <w:rFonts w:eastAsia="黑体"/>
      <w:b/>
      <w:bCs/>
      <w:sz w:val="18"/>
      <w:szCs w:val="20"/>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a3"/>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file:///C:\Documents%20and%20Settings\Administrator\Application%20Data\Tencent\Users\380085925\QQ\WinTemp\RichOle\7@3%7b3WHWUOCIW5BIL%5bQV_0D.jp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ournal.ecust.edu.cn/ch/index.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4780</Characters>
  <Application>Microsoft Office Word</Application>
  <DocSecurity>0</DocSecurity>
  <PresentationFormat/>
  <Lines>39</Lines>
  <Paragraphs>11</Paragraphs>
  <Slides>0</Slides>
  <Notes>0</Notes>
  <HiddenSlides>0</HiddenSlides>
  <MMClips>0</MMClips>
  <ScaleCrop>false</ScaleCrop>
  <Company>ecust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微反应法合成CdSeS三元合金量子点</dc:title>
  <dc:creator>wan zhen</dc:creator>
  <cp:lastModifiedBy>caojun</cp:lastModifiedBy>
  <cp:revision>5</cp:revision>
  <cp:lastPrinted>1900-12-31T16:00:00Z</cp:lastPrinted>
  <dcterms:created xsi:type="dcterms:W3CDTF">2014-09-05T07:18:00Z</dcterms:created>
  <dcterms:modified xsi:type="dcterms:W3CDTF">2015-11-10T07:16:00Z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